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98" w:rsidRDefault="00646F98" w:rsidP="00646F98">
      <w:pPr>
        <w:pStyle w:val="Heading3"/>
        <w:spacing w:line="252" w:lineRule="auto"/>
        <w:rPr>
          <w:rFonts w:asciiTheme="majorHAnsi" w:hAnsiTheme="majorHAnsi" w:cstheme="majorHAnsi"/>
          <w:lang w:val="nl-NL"/>
        </w:rPr>
      </w:pPr>
    </w:p>
    <w:tbl>
      <w:tblPr>
        <w:tblStyle w:val="TableGrid"/>
        <w:tblW w:w="1577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10709"/>
      </w:tblGrid>
      <w:tr w:rsidR="00646F98" w:rsidTr="00646F98">
        <w:tc>
          <w:tcPr>
            <w:tcW w:w="5070" w:type="dxa"/>
          </w:tcPr>
          <w:p w:rsidR="00646F98" w:rsidRPr="00646F98" w:rsidRDefault="00646F98" w:rsidP="00646F98">
            <w:pPr>
              <w:pStyle w:val="Heading3"/>
              <w:spacing w:line="252" w:lineRule="auto"/>
              <w:outlineLvl w:val="2"/>
              <w:rPr>
                <w:rFonts w:ascii="Times New Roman" w:hAnsi="Times New Roman"/>
                <w:sz w:val="26"/>
                <w:szCs w:val="26"/>
                <w:lang w:val="nl-NL"/>
              </w:rPr>
            </w:pPr>
            <w:r w:rsidRPr="00646F98">
              <w:rPr>
                <w:rFonts w:ascii="Times New Roman" w:hAnsi="Times New Roman"/>
                <w:bCs/>
                <w:sz w:val="26"/>
                <w:szCs w:val="26"/>
                <w:lang w:val="nl-NL"/>
              </w:rPr>
              <w:t>BỘ TÀI CHÍNH</w:t>
            </w:r>
          </w:p>
        </w:tc>
        <w:tc>
          <w:tcPr>
            <w:tcW w:w="10709" w:type="dxa"/>
          </w:tcPr>
          <w:p w:rsidR="00646F98" w:rsidRPr="00646F98" w:rsidRDefault="00646F98" w:rsidP="00DD34DC">
            <w:pPr>
              <w:widowControl w:val="0"/>
              <w:spacing w:line="240" w:lineRule="atLeast"/>
              <w:ind w:left="-142" w:firstLine="709"/>
              <w:jc w:val="center"/>
              <w:rPr>
                <w:b/>
                <w:bCs/>
                <w:sz w:val="26"/>
                <w:szCs w:val="26"/>
                <w:lang w:val="nl-NL"/>
              </w:rPr>
            </w:pPr>
            <w:r w:rsidRPr="00646F98">
              <w:rPr>
                <w:b/>
                <w:bCs/>
                <w:sz w:val="26"/>
                <w:szCs w:val="26"/>
                <w:lang w:val="nl-NL"/>
              </w:rPr>
              <w:t>CỘNG HOÀ XÃ HỘI CHỦ NGHĨA VIỆT NAM</w:t>
            </w:r>
          </w:p>
        </w:tc>
      </w:tr>
      <w:tr w:rsidR="00646F98" w:rsidTr="00646F98">
        <w:tc>
          <w:tcPr>
            <w:tcW w:w="5070" w:type="dxa"/>
          </w:tcPr>
          <w:p w:rsidR="00646F98" w:rsidRPr="00646F98" w:rsidRDefault="00DF6FCC" w:rsidP="00646F98">
            <w:pPr>
              <w:pStyle w:val="Heading3"/>
              <w:spacing w:line="252" w:lineRule="auto"/>
              <w:outlineLvl w:val="2"/>
              <w:rPr>
                <w:rFonts w:ascii="Times New Roman" w:hAnsi="Times New Roman"/>
                <w:sz w:val="26"/>
                <w:szCs w:val="26"/>
                <w:lang w:val="nl-NL"/>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8" type="#_x0000_t32" style="position:absolute;left:0;text-align:left;margin-left:92.25pt;margin-top:4.5pt;width:59.25pt;height:0;z-index:251660288;mso-position-horizontal-relative:text;mso-position-vertical-relative:text" o:connectortype="straight"/>
              </w:pict>
            </w:r>
          </w:p>
        </w:tc>
        <w:tc>
          <w:tcPr>
            <w:tcW w:w="10709" w:type="dxa"/>
          </w:tcPr>
          <w:p w:rsidR="00646F98" w:rsidRPr="00646F98" w:rsidRDefault="00646F98" w:rsidP="00DD34DC">
            <w:pPr>
              <w:widowControl w:val="0"/>
              <w:spacing w:line="240" w:lineRule="atLeast"/>
              <w:ind w:left="-142" w:firstLine="709"/>
              <w:jc w:val="center"/>
              <w:rPr>
                <w:b/>
                <w:bCs/>
                <w:sz w:val="26"/>
                <w:szCs w:val="26"/>
                <w:lang w:val="nl-NL"/>
              </w:rPr>
            </w:pPr>
            <w:r w:rsidRPr="00646F98">
              <w:rPr>
                <w:b/>
                <w:bCs/>
                <w:sz w:val="26"/>
                <w:szCs w:val="26"/>
                <w:lang w:val="nl-NL"/>
              </w:rPr>
              <w:t xml:space="preserve">Độc lập </w:t>
            </w:r>
            <w:r w:rsidRPr="00646F98">
              <w:rPr>
                <w:bCs/>
                <w:sz w:val="26"/>
                <w:szCs w:val="26"/>
                <w:lang w:val="nl-NL"/>
              </w:rPr>
              <w:t>–</w:t>
            </w:r>
            <w:r w:rsidRPr="00646F98">
              <w:rPr>
                <w:b/>
                <w:bCs/>
                <w:sz w:val="26"/>
                <w:szCs w:val="26"/>
                <w:lang w:val="nl-NL"/>
              </w:rPr>
              <w:t xml:space="preserve"> Tự do </w:t>
            </w:r>
            <w:r w:rsidRPr="00646F98">
              <w:rPr>
                <w:bCs/>
                <w:sz w:val="26"/>
                <w:szCs w:val="26"/>
                <w:lang w:val="nl-NL"/>
              </w:rPr>
              <w:t>–</w:t>
            </w:r>
            <w:r w:rsidRPr="00646F98">
              <w:rPr>
                <w:b/>
                <w:bCs/>
                <w:sz w:val="26"/>
                <w:szCs w:val="26"/>
                <w:lang w:val="nl-NL"/>
              </w:rPr>
              <w:t xml:space="preserve"> Hạnh phúc</w:t>
            </w:r>
          </w:p>
        </w:tc>
      </w:tr>
    </w:tbl>
    <w:p w:rsidR="00646F98" w:rsidRDefault="00DF6FCC" w:rsidP="00646F98">
      <w:pPr>
        <w:pStyle w:val="Heading3"/>
        <w:spacing w:line="252" w:lineRule="auto"/>
        <w:rPr>
          <w:rFonts w:asciiTheme="majorHAnsi" w:hAnsiTheme="majorHAnsi" w:cstheme="majorHAnsi"/>
          <w:lang w:val="nl-NL"/>
        </w:rPr>
      </w:pPr>
      <w:r>
        <w:rPr>
          <w:rFonts w:asciiTheme="majorHAnsi" w:hAnsiTheme="majorHAnsi" w:cstheme="majorHAnsi"/>
          <w:noProof/>
          <w:lang w:val="en-US"/>
        </w:rPr>
        <w:pict>
          <v:shape id="_x0000_s1027" type="#_x0000_t32" style="position:absolute;left:0;text-align:left;margin-left:441.3pt;margin-top:5.3pt;width:141pt;height:0;z-index:251659264;mso-position-horizontal-relative:text;mso-position-vertical-relative:text" o:connectortype="straight"/>
        </w:pict>
      </w:r>
    </w:p>
    <w:p w:rsidR="00E82CB7" w:rsidRPr="00B96D5D" w:rsidRDefault="00E82CB7" w:rsidP="00646F98">
      <w:pPr>
        <w:pStyle w:val="Heading3"/>
        <w:spacing w:line="252" w:lineRule="auto"/>
        <w:rPr>
          <w:rFonts w:ascii="Times New Roman" w:hAnsi="Times New Roman"/>
          <w:sz w:val="28"/>
          <w:szCs w:val="28"/>
          <w:lang w:val="nl-NL"/>
        </w:rPr>
      </w:pPr>
    </w:p>
    <w:p w:rsidR="00BF1A33" w:rsidRPr="003673A9" w:rsidRDefault="00BF1A33" w:rsidP="00BF1A33">
      <w:pPr>
        <w:pStyle w:val="Heading3"/>
        <w:spacing w:line="252" w:lineRule="auto"/>
        <w:rPr>
          <w:rFonts w:ascii="Times New Roman" w:hAnsi="Times New Roman"/>
          <w:sz w:val="26"/>
          <w:szCs w:val="26"/>
          <w:lang w:val="nl-NL"/>
        </w:rPr>
      </w:pPr>
      <w:r w:rsidRPr="003673A9">
        <w:rPr>
          <w:rFonts w:ascii="Times New Roman" w:hAnsi="Times New Roman"/>
          <w:sz w:val="26"/>
          <w:szCs w:val="26"/>
          <w:lang w:val="nl-NL"/>
        </w:rPr>
        <w:t xml:space="preserve">BẢNG TỔNG HỢP, GIẢI TRÌNH TIẾP THU Ý KIẾN </w:t>
      </w:r>
    </w:p>
    <w:p w:rsidR="00BF1A33" w:rsidRPr="003673A9" w:rsidRDefault="00BF1A33" w:rsidP="00BF1A33">
      <w:pPr>
        <w:pStyle w:val="Heading3"/>
        <w:spacing w:line="252" w:lineRule="auto"/>
        <w:rPr>
          <w:rFonts w:ascii="Times New Roman" w:hAnsi="Times New Roman"/>
          <w:sz w:val="26"/>
          <w:szCs w:val="26"/>
          <w:lang w:val="nl-NL"/>
        </w:rPr>
      </w:pPr>
      <w:r w:rsidRPr="003673A9">
        <w:rPr>
          <w:rFonts w:ascii="Times New Roman" w:hAnsi="Times New Roman"/>
          <w:sz w:val="26"/>
          <w:szCs w:val="26"/>
          <w:lang w:val="nl-NL"/>
        </w:rPr>
        <w:t xml:space="preserve">CỦA CÁC BỘ, NGÀNH, ĐỊA PHƯƠNG, HIỆP HỘI, DOANH NGHIỆP VỀ </w:t>
      </w:r>
      <w:r w:rsidR="004211A7">
        <w:rPr>
          <w:rFonts w:ascii="Times New Roman" w:hAnsi="Times New Roman"/>
          <w:sz w:val="26"/>
          <w:szCs w:val="26"/>
          <w:lang w:val="nl-NL"/>
        </w:rPr>
        <w:t>ĐIỀU CHỈNH</w:t>
      </w:r>
      <w:r w:rsidR="005170C3">
        <w:rPr>
          <w:rFonts w:ascii="Times New Roman" w:hAnsi="Times New Roman"/>
          <w:sz w:val="26"/>
          <w:szCs w:val="26"/>
          <w:lang w:val="nl-NL"/>
        </w:rPr>
        <w:t xml:space="preserve"> </w:t>
      </w:r>
      <w:r>
        <w:rPr>
          <w:rFonts w:ascii="Times New Roman" w:hAnsi="Times New Roman"/>
          <w:sz w:val="26"/>
          <w:szCs w:val="26"/>
          <w:lang w:val="nl-NL"/>
        </w:rPr>
        <w:t>MỨC THUẾ SUẤT THUẾ</w:t>
      </w:r>
      <w:r w:rsidR="005170C3">
        <w:rPr>
          <w:rFonts w:ascii="Times New Roman" w:hAnsi="Times New Roman"/>
          <w:sz w:val="26"/>
          <w:szCs w:val="26"/>
          <w:lang w:val="nl-NL"/>
        </w:rPr>
        <w:br/>
      </w:r>
      <w:r>
        <w:rPr>
          <w:rFonts w:ascii="Times New Roman" w:hAnsi="Times New Roman"/>
          <w:sz w:val="26"/>
          <w:szCs w:val="26"/>
          <w:lang w:val="nl-NL"/>
        </w:rPr>
        <w:t xml:space="preserve">NHẬP KHẨU </w:t>
      </w:r>
      <w:r w:rsidRPr="003673A9">
        <w:rPr>
          <w:rFonts w:ascii="Times New Roman" w:hAnsi="Times New Roman"/>
          <w:sz w:val="26"/>
          <w:szCs w:val="26"/>
          <w:lang w:val="nl-NL"/>
        </w:rPr>
        <w:t>ƯU ĐÃI MẶT HÀNG XĂNG THUỘC NHÓM 27.10</w:t>
      </w:r>
      <w:r w:rsidR="005170C3">
        <w:rPr>
          <w:rFonts w:ascii="Times New Roman" w:hAnsi="Times New Roman"/>
          <w:sz w:val="26"/>
          <w:szCs w:val="26"/>
          <w:lang w:val="nl-NL"/>
        </w:rPr>
        <w:t xml:space="preserve"> TẠI BIỂU THUẾ NHẬP KHẨU ƯU ĐÃI</w:t>
      </w:r>
      <w:r w:rsidRPr="003673A9">
        <w:rPr>
          <w:rFonts w:ascii="Times New Roman" w:hAnsi="Times New Roman"/>
          <w:sz w:val="26"/>
          <w:szCs w:val="26"/>
          <w:lang w:val="nl-NL"/>
        </w:rPr>
        <w:t xml:space="preserve"> </w:t>
      </w:r>
    </w:p>
    <w:p w:rsidR="00FE79D6" w:rsidRPr="00BF1A33" w:rsidRDefault="00FE79D6" w:rsidP="003B3FDD">
      <w:pPr>
        <w:pStyle w:val="Heading3"/>
        <w:spacing w:line="252" w:lineRule="auto"/>
        <w:rPr>
          <w:rFonts w:ascii="Times New Roman" w:hAnsi="Times New Roman"/>
          <w:i/>
          <w:sz w:val="28"/>
          <w:szCs w:val="28"/>
          <w:lang w:val="nl-NL"/>
        </w:rPr>
      </w:pPr>
      <w:r w:rsidRPr="00BF1A33">
        <w:rPr>
          <w:rFonts w:ascii="Times New Roman" w:hAnsi="Times New Roman"/>
          <w:i/>
          <w:sz w:val="28"/>
          <w:szCs w:val="28"/>
          <w:lang w:val="nl-NL"/>
        </w:rPr>
        <w:t>(Gửi kèm Tờ trình số</w:t>
      </w:r>
      <w:r w:rsidR="003B3FDD" w:rsidRPr="00BF1A33">
        <w:rPr>
          <w:rFonts w:ascii="Times New Roman" w:hAnsi="Times New Roman"/>
          <w:i/>
          <w:sz w:val="28"/>
          <w:szCs w:val="28"/>
          <w:lang w:val="nl-NL"/>
        </w:rPr>
        <w:t xml:space="preserve"> </w:t>
      </w:r>
      <w:r w:rsidR="000D0966">
        <w:rPr>
          <w:rFonts w:ascii="Times New Roman" w:hAnsi="Times New Roman"/>
          <w:i/>
          <w:sz w:val="28"/>
          <w:szCs w:val="28"/>
          <w:lang w:val="nl-NL"/>
        </w:rPr>
        <w:t>164</w:t>
      </w:r>
      <w:r w:rsidR="001C29B5" w:rsidRPr="00BF1A33">
        <w:rPr>
          <w:rFonts w:ascii="Times New Roman" w:hAnsi="Times New Roman"/>
          <w:i/>
          <w:sz w:val="28"/>
          <w:szCs w:val="28"/>
          <w:lang w:val="nl-NL"/>
        </w:rPr>
        <w:t>/TTr-BTC ng</w:t>
      </w:r>
      <w:r w:rsidRPr="00BF1A33">
        <w:rPr>
          <w:rFonts w:ascii="Times New Roman" w:hAnsi="Times New Roman"/>
          <w:i/>
          <w:sz w:val="28"/>
          <w:szCs w:val="28"/>
          <w:lang w:val="nl-NL"/>
        </w:rPr>
        <w:t>ày</w:t>
      </w:r>
      <w:r w:rsidR="00720CDA" w:rsidRPr="00BF1A33">
        <w:rPr>
          <w:rFonts w:ascii="Times New Roman" w:hAnsi="Times New Roman"/>
          <w:i/>
          <w:sz w:val="28"/>
          <w:szCs w:val="28"/>
          <w:lang w:val="nl-NL"/>
        </w:rPr>
        <w:t xml:space="preserve"> </w:t>
      </w:r>
      <w:r w:rsidR="000D0966">
        <w:rPr>
          <w:rFonts w:ascii="Times New Roman" w:hAnsi="Times New Roman"/>
          <w:i/>
          <w:sz w:val="28"/>
          <w:szCs w:val="28"/>
          <w:lang w:val="nl-NL"/>
        </w:rPr>
        <w:t xml:space="preserve">08 </w:t>
      </w:r>
      <w:r w:rsidRPr="00BF1A33">
        <w:rPr>
          <w:rFonts w:ascii="Times New Roman" w:hAnsi="Times New Roman"/>
          <w:i/>
          <w:sz w:val="28"/>
          <w:szCs w:val="28"/>
          <w:lang w:val="nl-NL"/>
        </w:rPr>
        <w:t>tháng</w:t>
      </w:r>
      <w:r w:rsidR="00720CDA" w:rsidRPr="00BF1A33">
        <w:rPr>
          <w:rFonts w:ascii="Times New Roman" w:hAnsi="Times New Roman"/>
          <w:i/>
          <w:sz w:val="28"/>
          <w:szCs w:val="28"/>
          <w:lang w:val="nl-NL"/>
        </w:rPr>
        <w:t xml:space="preserve"> </w:t>
      </w:r>
      <w:r w:rsidR="000D0966">
        <w:rPr>
          <w:rFonts w:ascii="Times New Roman" w:hAnsi="Times New Roman"/>
          <w:i/>
          <w:sz w:val="28"/>
          <w:szCs w:val="28"/>
          <w:lang w:val="nl-NL"/>
        </w:rPr>
        <w:t>7</w:t>
      </w:r>
      <w:r w:rsidR="003B3FDD" w:rsidRPr="00BF1A33">
        <w:rPr>
          <w:rFonts w:ascii="Times New Roman" w:hAnsi="Times New Roman"/>
          <w:i/>
          <w:sz w:val="28"/>
          <w:szCs w:val="28"/>
          <w:lang w:val="nl-NL"/>
        </w:rPr>
        <w:t xml:space="preserve"> </w:t>
      </w:r>
      <w:r w:rsidRPr="00BF1A33">
        <w:rPr>
          <w:rFonts w:ascii="Times New Roman" w:hAnsi="Times New Roman"/>
          <w:i/>
          <w:sz w:val="28"/>
          <w:szCs w:val="28"/>
          <w:lang w:val="nl-NL"/>
        </w:rPr>
        <w:t>năm 202</w:t>
      </w:r>
      <w:r w:rsidR="003B3FDD" w:rsidRPr="00BF1A33">
        <w:rPr>
          <w:rFonts w:ascii="Times New Roman" w:hAnsi="Times New Roman"/>
          <w:i/>
          <w:sz w:val="28"/>
          <w:szCs w:val="28"/>
          <w:lang w:val="nl-NL"/>
        </w:rPr>
        <w:t>2</w:t>
      </w:r>
      <w:r w:rsidRPr="00BF1A33">
        <w:rPr>
          <w:rFonts w:ascii="Times New Roman" w:hAnsi="Times New Roman"/>
          <w:i/>
          <w:sz w:val="28"/>
          <w:szCs w:val="28"/>
          <w:lang w:val="nl-NL"/>
        </w:rPr>
        <w:t>)</w:t>
      </w:r>
    </w:p>
    <w:p w:rsidR="00FE79D6" w:rsidRPr="00FE79D6" w:rsidRDefault="00DF6FCC" w:rsidP="00E82CB7">
      <w:pPr>
        <w:spacing w:after="0" w:line="240" w:lineRule="auto"/>
        <w:rPr>
          <w:lang w:val="nl-NL"/>
        </w:rPr>
      </w:pPr>
      <w:r w:rsidRPr="00DF6FCC">
        <w:rPr>
          <w:rFonts w:asciiTheme="majorHAnsi" w:hAnsiTheme="majorHAnsi" w:cstheme="majorHAnsi"/>
          <w:noProof/>
          <w:lang w:val="en-US"/>
        </w:rPr>
        <w:pict>
          <v:shape id="_x0000_s1026" type="#_x0000_t32" style="position:absolute;margin-left:257.55pt;margin-top:.3pt;width:210.75pt;height:0;z-index:251658240" o:connectortype="straight"/>
        </w:pict>
      </w:r>
    </w:p>
    <w:tbl>
      <w:tblPr>
        <w:tblStyle w:val="TableGrid"/>
        <w:tblW w:w="14709" w:type="dxa"/>
        <w:tblLayout w:type="fixed"/>
        <w:tblLook w:val="04A0"/>
      </w:tblPr>
      <w:tblGrid>
        <w:gridCol w:w="675"/>
        <w:gridCol w:w="4536"/>
        <w:gridCol w:w="4395"/>
        <w:gridCol w:w="5103"/>
      </w:tblGrid>
      <w:tr w:rsidR="00362EAA" w:rsidRPr="00646F98" w:rsidTr="00EF098B">
        <w:trPr>
          <w:trHeight w:val="716"/>
          <w:tblHeader/>
        </w:trPr>
        <w:tc>
          <w:tcPr>
            <w:tcW w:w="675" w:type="dxa"/>
            <w:vAlign w:val="center"/>
          </w:tcPr>
          <w:p w:rsidR="00362EAA" w:rsidRPr="00646F98" w:rsidRDefault="00362EAA" w:rsidP="00EF098B">
            <w:pPr>
              <w:widowControl w:val="0"/>
              <w:jc w:val="center"/>
              <w:rPr>
                <w:b/>
                <w:sz w:val="26"/>
                <w:szCs w:val="26"/>
              </w:rPr>
            </w:pPr>
            <w:r w:rsidRPr="00646F98">
              <w:rPr>
                <w:b/>
                <w:sz w:val="26"/>
                <w:szCs w:val="26"/>
              </w:rPr>
              <w:t>TT</w:t>
            </w:r>
          </w:p>
          <w:p w:rsidR="00362EAA" w:rsidRPr="00646F98" w:rsidRDefault="00362EAA" w:rsidP="00EF098B">
            <w:pPr>
              <w:widowControl w:val="0"/>
              <w:jc w:val="center"/>
              <w:rPr>
                <w:b/>
                <w:sz w:val="26"/>
                <w:szCs w:val="26"/>
              </w:rPr>
            </w:pPr>
          </w:p>
        </w:tc>
        <w:tc>
          <w:tcPr>
            <w:tcW w:w="4536" w:type="dxa"/>
            <w:vAlign w:val="center"/>
          </w:tcPr>
          <w:p w:rsidR="00362EAA" w:rsidRPr="0091738D" w:rsidRDefault="0091738D" w:rsidP="00EF098B">
            <w:pPr>
              <w:widowControl w:val="0"/>
              <w:jc w:val="center"/>
              <w:rPr>
                <w:b/>
                <w:sz w:val="26"/>
                <w:szCs w:val="26"/>
                <w:lang w:val="en-US"/>
              </w:rPr>
            </w:pPr>
            <w:r>
              <w:rPr>
                <w:b/>
                <w:sz w:val="26"/>
                <w:szCs w:val="26"/>
                <w:lang w:val="en-US"/>
              </w:rPr>
              <w:t>BỘ, NGÀNH, ĐỊA PHƯƠNG, HIỆP HỘI, DOANH NGHIỆP</w:t>
            </w:r>
          </w:p>
        </w:tc>
        <w:tc>
          <w:tcPr>
            <w:tcW w:w="4395" w:type="dxa"/>
            <w:vAlign w:val="center"/>
          </w:tcPr>
          <w:p w:rsidR="00362EAA" w:rsidRPr="00646F98" w:rsidRDefault="00362EAA" w:rsidP="00EF098B">
            <w:pPr>
              <w:widowControl w:val="0"/>
              <w:jc w:val="center"/>
              <w:rPr>
                <w:b/>
                <w:sz w:val="26"/>
                <w:szCs w:val="26"/>
              </w:rPr>
            </w:pPr>
            <w:r w:rsidRPr="00646F98">
              <w:rPr>
                <w:b/>
                <w:sz w:val="26"/>
                <w:szCs w:val="26"/>
              </w:rPr>
              <w:t>Ý KIẾN THAM GIA</w:t>
            </w:r>
          </w:p>
        </w:tc>
        <w:tc>
          <w:tcPr>
            <w:tcW w:w="5103" w:type="dxa"/>
            <w:vAlign w:val="center"/>
          </w:tcPr>
          <w:p w:rsidR="00362EAA" w:rsidRPr="00646F98" w:rsidRDefault="00362EAA" w:rsidP="00EF098B">
            <w:pPr>
              <w:widowControl w:val="0"/>
              <w:jc w:val="center"/>
              <w:rPr>
                <w:b/>
                <w:sz w:val="26"/>
                <w:szCs w:val="26"/>
              </w:rPr>
            </w:pPr>
            <w:r w:rsidRPr="00646F98">
              <w:rPr>
                <w:b/>
                <w:sz w:val="26"/>
                <w:szCs w:val="26"/>
              </w:rPr>
              <w:t>Ý KIẾN TIẾP THU, GIẢI TRÌNH</w:t>
            </w:r>
          </w:p>
        </w:tc>
      </w:tr>
      <w:tr w:rsidR="0091738D" w:rsidRPr="00646F98" w:rsidTr="0091738D">
        <w:trPr>
          <w:trHeight w:val="96"/>
        </w:trPr>
        <w:tc>
          <w:tcPr>
            <w:tcW w:w="675" w:type="dxa"/>
          </w:tcPr>
          <w:p w:rsidR="0091738D" w:rsidRPr="00646F98" w:rsidRDefault="0091738D" w:rsidP="000D0966">
            <w:pPr>
              <w:widowControl w:val="0"/>
              <w:spacing w:beforeLines="40" w:afterLines="20"/>
              <w:jc w:val="center"/>
              <w:rPr>
                <w:b/>
                <w:sz w:val="26"/>
                <w:szCs w:val="26"/>
                <w:lang w:val="en-US"/>
              </w:rPr>
            </w:pPr>
            <w:r>
              <w:rPr>
                <w:b/>
                <w:sz w:val="26"/>
                <w:szCs w:val="26"/>
                <w:lang w:val="en-US"/>
              </w:rPr>
              <w:t>I</w:t>
            </w:r>
          </w:p>
        </w:tc>
        <w:tc>
          <w:tcPr>
            <w:tcW w:w="14034" w:type="dxa"/>
            <w:gridSpan w:val="3"/>
          </w:tcPr>
          <w:p w:rsidR="0091738D" w:rsidRPr="00646F98" w:rsidRDefault="0091738D" w:rsidP="000D0966">
            <w:pPr>
              <w:widowControl w:val="0"/>
              <w:spacing w:beforeLines="40" w:afterLines="20"/>
              <w:rPr>
                <w:sz w:val="26"/>
                <w:szCs w:val="26"/>
              </w:rPr>
            </w:pPr>
            <w:proofErr w:type="spellStart"/>
            <w:r>
              <w:rPr>
                <w:b/>
                <w:sz w:val="26"/>
                <w:szCs w:val="26"/>
                <w:lang w:val="en-US"/>
              </w:rPr>
              <w:t>Các</w:t>
            </w:r>
            <w:proofErr w:type="spellEnd"/>
            <w:r>
              <w:rPr>
                <w:b/>
                <w:sz w:val="26"/>
                <w:szCs w:val="26"/>
                <w:lang w:val="en-US"/>
              </w:rPr>
              <w:t xml:space="preserve"> ý </w:t>
            </w:r>
            <w:proofErr w:type="spellStart"/>
            <w:r>
              <w:rPr>
                <w:b/>
                <w:sz w:val="26"/>
                <w:szCs w:val="26"/>
                <w:lang w:val="en-US"/>
              </w:rPr>
              <w:t>kiến</w:t>
            </w:r>
            <w:proofErr w:type="spellEnd"/>
            <w:r>
              <w:rPr>
                <w:b/>
                <w:sz w:val="26"/>
                <w:szCs w:val="26"/>
                <w:lang w:val="en-US"/>
              </w:rPr>
              <w:t xml:space="preserve"> </w:t>
            </w:r>
            <w:proofErr w:type="spellStart"/>
            <w:r>
              <w:rPr>
                <w:b/>
                <w:sz w:val="26"/>
                <w:szCs w:val="26"/>
                <w:lang w:val="en-US"/>
              </w:rPr>
              <w:t>thống</w:t>
            </w:r>
            <w:proofErr w:type="spellEnd"/>
            <w:r>
              <w:rPr>
                <w:b/>
                <w:sz w:val="26"/>
                <w:szCs w:val="26"/>
                <w:lang w:val="en-US"/>
              </w:rPr>
              <w:t xml:space="preserve"> </w:t>
            </w:r>
            <w:proofErr w:type="spellStart"/>
            <w:r>
              <w:rPr>
                <w:b/>
                <w:sz w:val="26"/>
                <w:szCs w:val="26"/>
                <w:lang w:val="en-US"/>
              </w:rPr>
              <w:t>nhất</w:t>
            </w:r>
            <w:proofErr w:type="spellEnd"/>
            <w:r>
              <w:rPr>
                <w:b/>
                <w:sz w:val="26"/>
                <w:szCs w:val="26"/>
                <w:lang w:val="en-US"/>
              </w:rPr>
              <w:t xml:space="preserve"> </w:t>
            </w:r>
            <w:proofErr w:type="spellStart"/>
            <w:r>
              <w:rPr>
                <w:b/>
                <w:sz w:val="26"/>
                <w:szCs w:val="26"/>
                <w:lang w:val="en-US"/>
              </w:rPr>
              <w:t>hoặc</w:t>
            </w:r>
            <w:proofErr w:type="spellEnd"/>
            <w:r>
              <w:rPr>
                <w:b/>
                <w:sz w:val="26"/>
                <w:szCs w:val="26"/>
                <w:lang w:val="en-US"/>
              </w:rPr>
              <w:t xml:space="preserve"> </w:t>
            </w:r>
            <w:proofErr w:type="spellStart"/>
            <w:r w:rsidRPr="00646F98">
              <w:rPr>
                <w:b/>
                <w:sz w:val="26"/>
                <w:szCs w:val="26"/>
                <w:lang w:val="en-US"/>
              </w:rPr>
              <w:t>không</w:t>
            </w:r>
            <w:proofErr w:type="spellEnd"/>
            <w:r w:rsidRPr="00646F98">
              <w:rPr>
                <w:b/>
                <w:sz w:val="26"/>
                <w:szCs w:val="26"/>
                <w:lang w:val="en-US"/>
              </w:rPr>
              <w:t xml:space="preserve"> </w:t>
            </w:r>
            <w:proofErr w:type="spellStart"/>
            <w:r w:rsidRPr="00646F98">
              <w:rPr>
                <w:b/>
                <w:sz w:val="26"/>
                <w:szCs w:val="26"/>
                <w:lang w:val="en-US"/>
              </w:rPr>
              <w:t>có</w:t>
            </w:r>
            <w:proofErr w:type="spellEnd"/>
            <w:r w:rsidRPr="00646F98">
              <w:rPr>
                <w:b/>
                <w:sz w:val="26"/>
                <w:szCs w:val="26"/>
                <w:lang w:val="en-US"/>
              </w:rPr>
              <w:t xml:space="preserve"> ý </w:t>
            </w:r>
            <w:proofErr w:type="spellStart"/>
            <w:r w:rsidRPr="00646F98">
              <w:rPr>
                <w:b/>
                <w:sz w:val="26"/>
                <w:szCs w:val="26"/>
                <w:lang w:val="en-US"/>
              </w:rPr>
              <w:t>kiến</w:t>
            </w:r>
            <w:proofErr w:type="spellEnd"/>
            <w:r w:rsidRPr="00646F98">
              <w:rPr>
                <w:b/>
                <w:sz w:val="26"/>
                <w:szCs w:val="26"/>
                <w:lang w:val="en-US"/>
              </w:rPr>
              <w:t xml:space="preserve"> </w:t>
            </w:r>
            <w:proofErr w:type="spellStart"/>
            <w:r w:rsidRPr="00646F98">
              <w:rPr>
                <w:b/>
                <w:sz w:val="26"/>
                <w:szCs w:val="26"/>
                <w:lang w:val="en-US"/>
              </w:rPr>
              <w:t>bổ</w:t>
            </w:r>
            <w:proofErr w:type="spellEnd"/>
            <w:r w:rsidRPr="00646F98">
              <w:rPr>
                <w:b/>
                <w:sz w:val="26"/>
                <w:szCs w:val="26"/>
                <w:lang w:val="en-US"/>
              </w:rPr>
              <w:t xml:space="preserve"> sung</w:t>
            </w:r>
          </w:p>
        </w:tc>
      </w:tr>
      <w:tr w:rsidR="0091738D" w:rsidRPr="00646F98" w:rsidTr="0091738D">
        <w:trPr>
          <w:trHeight w:val="20"/>
        </w:trPr>
        <w:tc>
          <w:tcPr>
            <w:tcW w:w="675" w:type="dxa"/>
          </w:tcPr>
          <w:p w:rsidR="0091738D" w:rsidRPr="00646F98" w:rsidRDefault="0091738D" w:rsidP="000D0966">
            <w:pPr>
              <w:widowControl w:val="0"/>
              <w:spacing w:beforeLines="40" w:afterLines="20"/>
              <w:jc w:val="center"/>
              <w:rPr>
                <w:sz w:val="26"/>
                <w:szCs w:val="26"/>
              </w:rPr>
            </w:pPr>
          </w:p>
        </w:tc>
        <w:tc>
          <w:tcPr>
            <w:tcW w:w="14034" w:type="dxa"/>
            <w:gridSpan w:val="3"/>
          </w:tcPr>
          <w:p w:rsidR="0091738D" w:rsidRPr="0091738D" w:rsidRDefault="001C19BD" w:rsidP="000D0966">
            <w:pPr>
              <w:widowControl w:val="0"/>
              <w:spacing w:beforeLines="40" w:afterLines="20"/>
              <w:jc w:val="both"/>
              <w:rPr>
                <w:sz w:val="26"/>
                <w:szCs w:val="26"/>
                <w:lang w:val="en-US"/>
              </w:rPr>
            </w:pPr>
            <w:proofErr w:type="spellStart"/>
            <w:r w:rsidRPr="001C19BD">
              <w:rPr>
                <w:color w:val="000000"/>
                <w:sz w:val="26"/>
                <w:szCs w:val="26"/>
                <w:lang w:val="en-US"/>
              </w:rPr>
              <w:t>Bộ</w:t>
            </w:r>
            <w:proofErr w:type="spellEnd"/>
            <w:r w:rsidRPr="001C19BD">
              <w:rPr>
                <w:color w:val="000000"/>
                <w:sz w:val="26"/>
                <w:szCs w:val="26"/>
                <w:lang w:val="en-US"/>
              </w:rPr>
              <w:t xml:space="preserve"> </w:t>
            </w:r>
            <w:proofErr w:type="spellStart"/>
            <w:r w:rsidRPr="001C19BD">
              <w:rPr>
                <w:color w:val="000000"/>
                <w:sz w:val="26"/>
                <w:szCs w:val="26"/>
                <w:lang w:val="en-US"/>
              </w:rPr>
              <w:t>Tài</w:t>
            </w:r>
            <w:proofErr w:type="spellEnd"/>
            <w:r w:rsidRPr="001C19BD">
              <w:rPr>
                <w:color w:val="000000"/>
                <w:sz w:val="26"/>
                <w:szCs w:val="26"/>
                <w:lang w:val="en-US"/>
              </w:rPr>
              <w:t xml:space="preserve"> </w:t>
            </w:r>
            <w:proofErr w:type="spellStart"/>
            <w:r w:rsidRPr="001C19BD">
              <w:rPr>
                <w:color w:val="000000"/>
                <w:sz w:val="26"/>
                <w:szCs w:val="26"/>
                <w:lang w:val="en-US"/>
              </w:rPr>
              <w:t>chính</w:t>
            </w:r>
            <w:proofErr w:type="spellEnd"/>
            <w:r w:rsidRPr="001C19BD">
              <w:rPr>
                <w:color w:val="000000"/>
                <w:sz w:val="26"/>
                <w:szCs w:val="26"/>
                <w:lang w:val="en-US"/>
              </w:rPr>
              <w:t> </w:t>
            </w:r>
            <w:proofErr w:type="spellStart"/>
            <w:r w:rsidRPr="001C19BD">
              <w:rPr>
                <w:color w:val="000000"/>
                <w:sz w:val="26"/>
                <w:szCs w:val="26"/>
                <w:lang w:val="en-US"/>
              </w:rPr>
              <w:t>đã</w:t>
            </w:r>
            <w:proofErr w:type="spellEnd"/>
            <w:r w:rsidRPr="001C19BD">
              <w:rPr>
                <w:color w:val="000000"/>
                <w:sz w:val="26"/>
                <w:szCs w:val="26"/>
                <w:lang w:val="en-US"/>
              </w:rPr>
              <w:t xml:space="preserve"> </w:t>
            </w:r>
            <w:proofErr w:type="spellStart"/>
            <w:r w:rsidRPr="001C19BD">
              <w:rPr>
                <w:color w:val="000000"/>
                <w:sz w:val="26"/>
                <w:szCs w:val="26"/>
                <w:lang w:val="en-US"/>
              </w:rPr>
              <w:t>nhận</w:t>
            </w:r>
            <w:proofErr w:type="spellEnd"/>
            <w:r w:rsidRPr="001C19BD">
              <w:rPr>
                <w:color w:val="000000"/>
                <w:sz w:val="26"/>
                <w:szCs w:val="26"/>
                <w:lang w:val="en-US"/>
              </w:rPr>
              <w:t xml:space="preserve"> </w:t>
            </w:r>
            <w:proofErr w:type="spellStart"/>
            <w:r w:rsidRPr="001C19BD">
              <w:rPr>
                <w:color w:val="000000"/>
                <w:sz w:val="26"/>
                <w:szCs w:val="26"/>
                <w:lang w:val="en-US"/>
              </w:rPr>
              <w:t>được</w:t>
            </w:r>
            <w:proofErr w:type="spellEnd"/>
            <w:r w:rsidRPr="001C19BD">
              <w:rPr>
                <w:color w:val="000000"/>
                <w:sz w:val="26"/>
                <w:szCs w:val="26"/>
                <w:lang w:val="en-US"/>
              </w:rPr>
              <w:t xml:space="preserve"> 63 </w:t>
            </w:r>
            <w:proofErr w:type="spellStart"/>
            <w:r w:rsidRPr="001C19BD">
              <w:rPr>
                <w:color w:val="000000"/>
                <w:sz w:val="26"/>
                <w:szCs w:val="26"/>
                <w:lang w:val="en-US"/>
              </w:rPr>
              <w:t>công</w:t>
            </w:r>
            <w:proofErr w:type="spellEnd"/>
            <w:r w:rsidRPr="001C19BD">
              <w:rPr>
                <w:color w:val="000000"/>
                <w:sz w:val="26"/>
                <w:szCs w:val="26"/>
                <w:lang w:val="en-US"/>
              </w:rPr>
              <w:t xml:space="preserve"> </w:t>
            </w:r>
            <w:proofErr w:type="spellStart"/>
            <w:r w:rsidRPr="001C19BD">
              <w:rPr>
                <w:color w:val="000000"/>
                <w:sz w:val="26"/>
                <w:szCs w:val="26"/>
                <w:lang w:val="en-US"/>
              </w:rPr>
              <w:t>văn</w:t>
            </w:r>
            <w:proofErr w:type="spellEnd"/>
            <w:r w:rsidRPr="001C19BD">
              <w:rPr>
                <w:color w:val="000000"/>
                <w:sz w:val="26"/>
                <w:szCs w:val="26"/>
                <w:lang w:val="en-US"/>
              </w:rPr>
              <w:t xml:space="preserve"> </w:t>
            </w:r>
            <w:proofErr w:type="spellStart"/>
            <w:r w:rsidRPr="001C19BD">
              <w:rPr>
                <w:color w:val="000000"/>
                <w:sz w:val="26"/>
                <w:szCs w:val="26"/>
                <w:lang w:val="en-US"/>
              </w:rPr>
              <w:t>tham</w:t>
            </w:r>
            <w:proofErr w:type="spellEnd"/>
            <w:r w:rsidRPr="001C19BD">
              <w:rPr>
                <w:color w:val="000000"/>
                <w:sz w:val="26"/>
                <w:szCs w:val="26"/>
                <w:lang w:val="en-US"/>
              </w:rPr>
              <w:t xml:space="preserve"> </w:t>
            </w:r>
            <w:proofErr w:type="spellStart"/>
            <w:r w:rsidRPr="001C19BD">
              <w:rPr>
                <w:color w:val="000000"/>
                <w:sz w:val="26"/>
                <w:szCs w:val="26"/>
                <w:lang w:val="en-US"/>
              </w:rPr>
              <w:t>gia</w:t>
            </w:r>
            <w:proofErr w:type="spellEnd"/>
            <w:r w:rsidRPr="001C19BD">
              <w:rPr>
                <w:color w:val="000000"/>
                <w:sz w:val="26"/>
                <w:szCs w:val="26"/>
                <w:lang w:val="en-US"/>
              </w:rPr>
              <w:t xml:space="preserve"> ý </w:t>
            </w:r>
            <w:proofErr w:type="spellStart"/>
            <w:r w:rsidRPr="001C19BD">
              <w:rPr>
                <w:color w:val="000000"/>
                <w:sz w:val="26"/>
                <w:szCs w:val="26"/>
                <w:lang w:val="en-US"/>
              </w:rPr>
              <w:t>kiến</w:t>
            </w:r>
            <w:proofErr w:type="spellEnd"/>
            <w:r w:rsidRPr="001C19BD">
              <w:rPr>
                <w:color w:val="000000"/>
                <w:sz w:val="26"/>
                <w:szCs w:val="26"/>
                <w:lang w:val="en-US"/>
              </w:rPr>
              <w:t> </w:t>
            </w:r>
            <w:proofErr w:type="spellStart"/>
            <w:r w:rsidRPr="001C19BD">
              <w:rPr>
                <w:color w:val="000000"/>
                <w:sz w:val="26"/>
                <w:szCs w:val="26"/>
                <w:lang w:val="en-US"/>
              </w:rPr>
              <w:t>của</w:t>
            </w:r>
            <w:proofErr w:type="spellEnd"/>
            <w:r w:rsidRPr="001C19BD">
              <w:rPr>
                <w:color w:val="000000"/>
                <w:sz w:val="26"/>
                <w:szCs w:val="26"/>
                <w:lang w:val="en-US"/>
              </w:rPr>
              <w:t xml:space="preserve"> </w:t>
            </w:r>
            <w:proofErr w:type="spellStart"/>
            <w:r w:rsidRPr="001C19BD">
              <w:rPr>
                <w:color w:val="000000"/>
                <w:sz w:val="26"/>
                <w:szCs w:val="26"/>
                <w:lang w:val="en-US"/>
              </w:rPr>
              <w:t>các</w:t>
            </w:r>
            <w:proofErr w:type="spellEnd"/>
            <w:r w:rsidRPr="001C19BD">
              <w:rPr>
                <w:color w:val="000000"/>
                <w:sz w:val="26"/>
                <w:szCs w:val="26"/>
                <w:lang w:val="en-US"/>
              </w:rPr>
              <w:t xml:space="preserve"> </w:t>
            </w:r>
            <w:proofErr w:type="spellStart"/>
            <w:r w:rsidRPr="001C19BD">
              <w:rPr>
                <w:color w:val="000000"/>
                <w:sz w:val="26"/>
                <w:szCs w:val="26"/>
                <w:lang w:val="en-US"/>
              </w:rPr>
              <w:t>đơn</w:t>
            </w:r>
            <w:proofErr w:type="spellEnd"/>
            <w:r w:rsidRPr="001C19BD">
              <w:rPr>
                <w:color w:val="000000"/>
                <w:sz w:val="26"/>
                <w:szCs w:val="26"/>
                <w:lang w:val="en-US"/>
              </w:rPr>
              <w:t xml:space="preserve"> </w:t>
            </w:r>
            <w:proofErr w:type="spellStart"/>
            <w:r w:rsidRPr="001C19BD">
              <w:rPr>
                <w:color w:val="000000"/>
                <w:sz w:val="26"/>
                <w:szCs w:val="26"/>
                <w:lang w:val="en-US"/>
              </w:rPr>
              <w:t>vị</w:t>
            </w:r>
            <w:proofErr w:type="spellEnd"/>
            <w:r w:rsidRPr="001C19BD">
              <w:rPr>
                <w:color w:val="000000"/>
                <w:sz w:val="26"/>
                <w:szCs w:val="26"/>
                <w:lang w:val="en-US"/>
              </w:rPr>
              <w:t xml:space="preserve"> </w:t>
            </w:r>
            <w:proofErr w:type="spellStart"/>
            <w:r w:rsidRPr="001C19BD">
              <w:rPr>
                <w:color w:val="000000"/>
                <w:sz w:val="26"/>
                <w:szCs w:val="26"/>
                <w:lang w:val="en-US"/>
              </w:rPr>
              <w:t>liên</w:t>
            </w:r>
            <w:proofErr w:type="spellEnd"/>
            <w:r w:rsidRPr="001C19BD">
              <w:rPr>
                <w:color w:val="000000"/>
                <w:sz w:val="26"/>
                <w:szCs w:val="26"/>
                <w:lang w:val="en-US"/>
              </w:rPr>
              <w:t xml:space="preserve"> </w:t>
            </w:r>
            <w:proofErr w:type="spellStart"/>
            <w:r w:rsidRPr="001C19BD">
              <w:rPr>
                <w:color w:val="000000"/>
                <w:sz w:val="26"/>
                <w:szCs w:val="26"/>
                <w:lang w:val="en-US"/>
              </w:rPr>
              <w:t>quan</w:t>
            </w:r>
            <w:proofErr w:type="spellEnd"/>
            <w:r w:rsidRPr="001C19BD">
              <w:rPr>
                <w:color w:val="000000"/>
                <w:sz w:val="26"/>
                <w:szCs w:val="26"/>
                <w:lang w:val="en-US"/>
              </w:rPr>
              <w:t xml:space="preserve">, </w:t>
            </w:r>
            <w:proofErr w:type="spellStart"/>
            <w:r w:rsidRPr="001C19BD">
              <w:rPr>
                <w:color w:val="000000"/>
                <w:sz w:val="26"/>
                <w:szCs w:val="26"/>
                <w:lang w:val="en-US"/>
              </w:rPr>
              <w:t>trong</w:t>
            </w:r>
            <w:proofErr w:type="spellEnd"/>
            <w:r w:rsidRPr="001C19BD">
              <w:rPr>
                <w:color w:val="000000"/>
                <w:sz w:val="26"/>
                <w:szCs w:val="26"/>
                <w:lang w:val="en-US"/>
              </w:rPr>
              <w:t xml:space="preserve"> </w:t>
            </w:r>
            <w:proofErr w:type="spellStart"/>
            <w:r w:rsidRPr="001C19BD">
              <w:rPr>
                <w:color w:val="000000"/>
                <w:sz w:val="26"/>
                <w:szCs w:val="26"/>
                <w:lang w:val="en-US"/>
              </w:rPr>
              <w:t>đó</w:t>
            </w:r>
            <w:proofErr w:type="spellEnd"/>
            <w:r w:rsidRPr="001C19BD">
              <w:rPr>
                <w:color w:val="000000"/>
                <w:sz w:val="26"/>
                <w:szCs w:val="26"/>
                <w:lang w:val="en-US"/>
              </w:rPr>
              <w:t xml:space="preserve"> </w:t>
            </w:r>
            <w:proofErr w:type="spellStart"/>
            <w:r w:rsidRPr="001C19BD">
              <w:rPr>
                <w:color w:val="000000"/>
                <w:sz w:val="26"/>
                <w:szCs w:val="26"/>
                <w:lang w:val="en-US"/>
              </w:rPr>
              <w:t>có</w:t>
            </w:r>
            <w:proofErr w:type="spellEnd"/>
            <w:r w:rsidRPr="001C19BD">
              <w:rPr>
                <w:color w:val="000000"/>
                <w:sz w:val="26"/>
                <w:szCs w:val="26"/>
                <w:lang w:val="en-US"/>
              </w:rPr>
              <w:t> 16 </w:t>
            </w:r>
            <w:proofErr w:type="spellStart"/>
            <w:r w:rsidRPr="001C19BD">
              <w:rPr>
                <w:color w:val="000000"/>
                <w:sz w:val="26"/>
                <w:szCs w:val="26"/>
                <w:lang w:val="en-US"/>
              </w:rPr>
              <w:t>Bộ</w:t>
            </w:r>
            <w:proofErr w:type="spellEnd"/>
            <w:r w:rsidRPr="001C19BD">
              <w:rPr>
                <w:color w:val="000000"/>
                <w:sz w:val="26"/>
                <w:szCs w:val="26"/>
                <w:lang w:val="en-US"/>
              </w:rPr>
              <w:t>, </w:t>
            </w:r>
            <w:proofErr w:type="spellStart"/>
            <w:r w:rsidRPr="001C19BD">
              <w:rPr>
                <w:color w:val="000000"/>
                <w:sz w:val="26"/>
                <w:szCs w:val="26"/>
                <w:lang w:val="en-US"/>
              </w:rPr>
              <w:t>cơ</w:t>
            </w:r>
            <w:proofErr w:type="spellEnd"/>
            <w:r w:rsidRPr="001C19BD">
              <w:rPr>
                <w:color w:val="000000"/>
                <w:sz w:val="26"/>
                <w:szCs w:val="26"/>
                <w:lang w:val="en-US"/>
              </w:rPr>
              <w:t xml:space="preserve"> </w:t>
            </w:r>
            <w:proofErr w:type="spellStart"/>
            <w:r w:rsidRPr="001C19BD">
              <w:rPr>
                <w:color w:val="000000"/>
                <w:sz w:val="26"/>
                <w:szCs w:val="26"/>
                <w:lang w:val="en-US"/>
              </w:rPr>
              <w:t>quan</w:t>
            </w:r>
            <w:proofErr w:type="spellEnd"/>
            <w:r w:rsidRPr="001C19BD">
              <w:rPr>
                <w:color w:val="000000"/>
                <w:sz w:val="26"/>
                <w:szCs w:val="26"/>
                <w:lang w:val="en-US"/>
              </w:rPr>
              <w:t xml:space="preserve"> </w:t>
            </w:r>
            <w:proofErr w:type="spellStart"/>
            <w:r w:rsidRPr="001C19BD">
              <w:rPr>
                <w:color w:val="000000"/>
                <w:sz w:val="26"/>
                <w:szCs w:val="26"/>
                <w:lang w:val="en-US"/>
              </w:rPr>
              <w:t>ngang</w:t>
            </w:r>
            <w:proofErr w:type="spellEnd"/>
            <w:r w:rsidRPr="001C19BD">
              <w:rPr>
                <w:color w:val="000000"/>
                <w:sz w:val="26"/>
                <w:szCs w:val="26"/>
                <w:lang w:val="en-US"/>
              </w:rPr>
              <w:t xml:space="preserve"> </w:t>
            </w:r>
            <w:proofErr w:type="spellStart"/>
            <w:r w:rsidRPr="001C19BD">
              <w:rPr>
                <w:color w:val="000000"/>
                <w:sz w:val="26"/>
                <w:szCs w:val="26"/>
                <w:lang w:val="en-US"/>
              </w:rPr>
              <w:t>bộ</w:t>
            </w:r>
            <w:proofErr w:type="spellEnd"/>
            <w:r w:rsidRPr="001C19BD">
              <w:rPr>
                <w:color w:val="000000"/>
                <w:sz w:val="26"/>
                <w:szCs w:val="26"/>
                <w:lang w:val="en-US"/>
              </w:rPr>
              <w:t>; 39 </w:t>
            </w:r>
            <w:proofErr w:type="spellStart"/>
            <w:r w:rsidRPr="001C19BD">
              <w:rPr>
                <w:color w:val="000000"/>
                <w:sz w:val="26"/>
                <w:szCs w:val="26"/>
                <w:lang w:val="en-US"/>
              </w:rPr>
              <w:t>Uỷ</w:t>
            </w:r>
            <w:proofErr w:type="spellEnd"/>
            <w:r w:rsidRPr="001C19BD">
              <w:rPr>
                <w:color w:val="000000"/>
                <w:sz w:val="26"/>
                <w:szCs w:val="26"/>
                <w:lang w:val="en-US"/>
              </w:rPr>
              <w:t xml:space="preserve"> ban </w:t>
            </w:r>
            <w:proofErr w:type="spellStart"/>
            <w:r w:rsidRPr="001C19BD">
              <w:rPr>
                <w:color w:val="000000"/>
                <w:sz w:val="26"/>
                <w:szCs w:val="26"/>
                <w:lang w:val="en-US"/>
              </w:rPr>
              <w:t>nhân</w:t>
            </w:r>
            <w:proofErr w:type="spellEnd"/>
            <w:r w:rsidRPr="001C19BD">
              <w:rPr>
                <w:color w:val="000000"/>
                <w:sz w:val="26"/>
                <w:szCs w:val="26"/>
                <w:lang w:val="en-US"/>
              </w:rPr>
              <w:t xml:space="preserve"> </w:t>
            </w:r>
            <w:proofErr w:type="spellStart"/>
            <w:r w:rsidRPr="001C19BD">
              <w:rPr>
                <w:color w:val="000000"/>
                <w:sz w:val="26"/>
                <w:szCs w:val="26"/>
                <w:lang w:val="en-US"/>
              </w:rPr>
              <w:t>dân</w:t>
            </w:r>
            <w:proofErr w:type="spellEnd"/>
            <w:r w:rsidRPr="001C19BD">
              <w:rPr>
                <w:color w:val="000000"/>
                <w:sz w:val="26"/>
                <w:szCs w:val="26"/>
                <w:lang w:val="en-US"/>
              </w:rPr>
              <w:t xml:space="preserve"> </w:t>
            </w:r>
            <w:proofErr w:type="spellStart"/>
            <w:r w:rsidRPr="001C19BD">
              <w:rPr>
                <w:color w:val="000000"/>
                <w:sz w:val="26"/>
                <w:szCs w:val="26"/>
                <w:lang w:val="en-US"/>
              </w:rPr>
              <w:t>các</w:t>
            </w:r>
            <w:proofErr w:type="spellEnd"/>
            <w:r w:rsidRPr="001C19BD">
              <w:rPr>
                <w:color w:val="000000"/>
                <w:sz w:val="26"/>
                <w:szCs w:val="26"/>
                <w:lang w:val="en-US"/>
              </w:rPr>
              <w:t xml:space="preserve"> </w:t>
            </w:r>
            <w:proofErr w:type="spellStart"/>
            <w:r w:rsidRPr="001C19BD">
              <w:rPr>
                <w:color w:val="000000"/>
                <w:sz w:val="26"/>
                <w:szCs w:val="26"/>
                <w:lang w:val="en-US"/>
              </w:rPr>
              <w:t>tỉnh</w:t>
            </w:r>
            <w:proofErr w:type="spellEnd"/>
            <w:r w:rsidRPr="001C19BD">
              <w:rPr>
                <w:color w:val="000000"/>
                <w:sz w:val="26"/>
                <w:szCs w:val="26"/>
                <w:lang w:val="en-US"/>
              </w:rPr>
              <w:t xml:space="preserve">, </w:t>
            </w:r>
            <w:proofErr w:type="spellStart"/>
            <w:r w:rsidRPr="001C19BD">
              <w:rPr>
                <w:color w:val="000000"/>
                <w:sz w:val="26"/>
                <w:szCs w:val="26"/>
                <w:lang w:val="en-US"/>
              </w:rPr>
              <w:t>thành</w:t>
            </w:r>
            <w:proofErr w:type="spellEnd"/>
            <w:r w:rsidRPr="001C19BD">
              <w:rPr>
                <w:color w:val="000000"/>
                <w:sz w:val="26"/>
                <w:szCs w:val="26"/>
                <w:lang w:val="en-US"/>
              </w:rPr>
              <w:t xml:space="preserve"> </w:t>
            </w:r>
            <w:proofErr w:type="spellStart"/>
            <w:r w:rsidRPr="001C19BD">
              <w:rPr>
                <w:color w:val="000000"/>
                <w:sz w:val="26"/>
                <w:szCs w:val="26"/>
                <w:lang w:val="en-US"/>
              </w:rPr>
              <w:t>phố</w:t>
            </w:r>
            <w:proofErr w:type="spellEnd"/>
            <w:r w:rsidRPr="001C19BD">
              <w:rPr>
                <w:color w:val="000000"/>
                <w:sz w:val="26"/>
                <w:szCs w:val="26"/>
                <w:lang w:val="en-US"/>
              </w:rPr>
              <w:t xml:space="preserve">; VCCI; </w:t>
            </w:r>
            <w:proofErr w:type="spellStart"/>
            <w:r w:rsidRPr="001C19BD">
              <w:rPr>
                <w:color w:val="000000"/>
                <w:sz w:val="26"/>
                <w:szCs w:val="26"/>
                <w:lang w:val="en-US"/>
              </w:rPr>
              <w:t>Hiệp</w:t>
            </w:r>
            <w:proofErr w:type="spellEnd"/>
            <w:r w:rsidRPr="001C19BD">
              <w:rPr>
                <w:color w:val="000000"/>
                <w:sz w:val="26"/>
                <w:szCs w:val="26"/>
                <w:lang w:val="en-US"/>
              </w:rPr>
              <w:t xml:space="preserve"> </w:t>
            </w:r>
            <w:proofErr w:type="spellStart"/>
            <w:r w:rsidRPr="001C19BD">
              <w:rPr>
                <w:color w:val="000000"/>
                <w:sz w:val="26"/>
                <w:szCs w:val="26"/>
                <w:lang w:val="en-US"/>
              </w:rPr>
              <w:t>hội</w:t>
            </w:r>
            <w:proofErr w:type="spellEnd"/>
            <w:r w:rsidRPr="001C19BD">
              <w:rPr>
                <w:color w:val="000000"/>
                <w:sz w:val="26"/>
                <w:szCs w:val="26"/>
                <w:lang w:val="en-US"/>
              </w:rPr>
              <w:t xml:space="preserve"> </w:t>
            </w:r>
            <w:proofErr w:type="spellStart"/>
            <w:r w:rsidRPr="001C19BD">
              <w:rPr>
                <w:color w:val="000000"/>
                <w:sz w:val="26"/>
                <w:szCs w:val="26"/>
                <w:lang w:val="en-US"/>
              </w:rPr>
              <w:t>Xăng</w:t>
            </w:r>
            <w:proofErr w:type="spellEnd"/>
            <w:r w:rsidRPr="001C19BD">
              <w:rPr>
                <w:color w:val="000000"/>
                <w:sz w:val="26"/>
                <w:szCs w:val="26"/>
                <w:lang w:val="en-US"/>
              </w:rPr>
              <w:t xml:space="preserve"> </w:t>
            </w:r>
            <w:proofErr w:type="spellStart"/>
            <w:r w:rsidRPr="001C19BD">
              <w:rPr>
                <w:color w:val="000000"/>
                <w:sz w:val="26"/>
                <w:szCs w:val="26"/>
                <w:lang w:val="en-US"/>
              </w:rPr>
              <w:t>dầu</w:t>
            </w:r>
            <w:proofErr w:type="spellEnd"/>
            <w:r w:rsidRPr="001C19BD">
              <w:rPr>
                <w:color w:val="000000"/>
                <w:sz w:val="26"/>
                <w:szCs w:val="26"/>
                <w:lang w:val="en-US"/>
              </w:rPr>
              <w:t>...</w:t>
            </w:r>
            <w:r w:rsidR="0091738D">
              <w:rPr>
                <w:color w:val="000000"/>
                <w:sz w:val="26"/>
                <w:szCs w:val="26"/>
                <w:lang w:val="en-US"/>
              </w:rPr>
              <w:t xml:space="preserve"> </w:t>
            </w:r>
            <w:proofErr w:type="spellStart"/>
            <w:r w:rsidR="0091738D">
              <w:rPr>
                <w:color w:val="000000"/>
                <w:sz w:val="26"/>
                <w:szCs w:val="26"/>
                <w:lang w:val="en-US"/>
              </w:rPr>
              <w:t>về</w:t>
            </w:r>
            <w:proofErr w:type="spellEnd"/>
            <w:r w:rsidR="0091738D">
              <w:rPr>
                <w:color w:val="000000"/>
                <w:sz w:val="26"/>
                <w:szCs w:val="26"/>
                <w:lang w:val="en-US"/>
              </w:rPr>
              <w:t xml:space="preserve"> </w:t>
            </w:r>
            <w:proofErr w:type="spellStart"/>
            <w:r w:rsidR="0091738D">
              <w:rPr>
                <w:color w:val="000000"/>
                <w:sz w:val="26"/>
                <w:szCs w:val="26"/>
                <w:lang w:val="en-US"/>
              </w:rPr>
              <w:t>dự</w:t>
            </w:r>
            <w:proofErr w:type="spellEnd"/>
            <w:r w:rsidR="0091738D">
              <w:rPr>
                <w:color w:val="000000"/>
                <w:sz w:val="26"/>
                <w:szCs w:val="26"/>
                <w:lang w:val="en-US"/>
              </w:rPr>
              <w:t xml:space="preserve"> </w:t>
            </w:r>
            <w:proofErr w:type="spellStart"/>
            <w:r w:rsidR="0091738D">
              <w:rPr>
                <w:color w:val="000000"/>
                <w:sz w:val="26"/>
                <w:szCs w:val="26"/>
                <w:lang w:val="en-US"/>
              </w:rPr>
              <w:t>thảo</w:t>
            </w:r>
            <w:proofErr w:type="spellEnd"/>
            <w:r w:rsidR="0091738D">
              <w:rPr>
                <w:color w:val="000000"/>
                <w:sz w:val="26"/>
                <w:szCs w:val="26"/>
                <w:lang w:val="en-US"/>
              </w:rPr>
              <w:t xml:space="preserve"> </w:t>
            </w:r>
            <w:proofErr w:type="spellStart"/>
            <w:r w:rsidR="0091738D">
              <w:rPr>
                <w:color w:val="000000"/>
                <w:sz w:val="26"/>
                <w:szCs w:val="26"/>
                <w:lang w:val="en-US"/>
              </w:rPr>
              <w:t>Nghị</w:t>
            </w:r>
            <w:proofErr w:type="spellEnd"/>
            <w:r w:rsidR="0091738D">
              <w:rPr>
                <w:color w:val="000000"/>
                <w:sz w:val="26"/>
                <w:szCs w:val="26"/>
                <w:lang w:val="en-US"/>
              </w:rPr>
              <w:t xml:space="preserve"> </w:t>
            </w:r>
            <w:proofErr w:type="spellStart"/>
            <w:r w:rsidR="0091738D">
              <w:rPr>
                <w:color w:val="000000"/>
                <w:sz w:val="26"/>
                <w:szCs w:val="26"/>
                <w:lang w:val="en-US"/>
              </w:rPr>
              <w:t>định</w:t>
            </w:r>
            <w:proofErr w:type="spellEnd"/>
            <w:r w:rsidR="0091738D">
              <w:rPr>
                <w:color w:val="000000"/>
                <w:sz w:val="26"/>
                <w:szCs w:val="26"/>
                <w:lang w:val="en-US"/>
              </w:rPr>
              <w:t xml:space="preserve"> </w:t>
            </w:r>
            <w:proofErr w:type="spellStart"/>
            <w:r w:rsidR="0091738D">
              <w:rPr>
                <w:color w:val="000000"/>
                <w:sz w:val="26"/>
                <w:szCs w:val="26"/>
                <w:lang w:val="en-US"/>
              </w:rPr>
              <w:t>Biểu</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xuất</w:t>
            </w:r>
            <w:proofErr w:type="spellEnd"/>
            <w:r w:rsidR="0091738D">
              <w:rPr>
                <w:color w:val="000000"/>
                <w:sz w:val="26"/>
                <w:szCs w:val="26"/>
                <w:lang w:val="en-US"/>
              </w:rPr>
              <w:t xml:space="preserve"> </w:t>
            </w:r>
            <w:proofErr w:type="spellStart"/>
            <w:r w:rsidR="0091738D">
              <w:rPr>
                <w:color w:val="000000"/>
                <w:sz w:val="26"/>
                <w:szCs w:val="26"/>
                <w:lang w:val="en-US"/>
              </w:rPr>
              <w:t>khẩu</w:t>
            </w:r>
            <w:proofErr w:type="spellEnd"/>
            <w:r w:rsidR="0091738D">
              <w:rPr>
                <w:color w:val="000000"/>
                <w:sz w:val="26"/>
                <w:szCs w:val="26"/>
                <w:lang w:val="en-US"/>
              </w:rPr>
              <w:t xml:space="preserve">, </w:t>
            </w:r>
            <w:proofErr w:type="spellStart"/>
            <w:r w:rsidR="0091738D">
              <w:rPr>
                <w:color w:val="000000"/>
                <w:sz w:val="26"/>
                <w:szCs w:val="26"/>
                <w:lang w:val="en-US"/>
              </w:rPr>
              <w:t>Biểu</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nhập</w:t>
            </w:r>
            <w:proofErr w:type="spellEnd"/>
            <w:r w:rsidR="0091738D">
              <w:rPr>
                <w:color w:val="000000"/>
                <w:sz w:val="26"/>
                <w:szCs w:val="26"/>
                <w:lang w:val="en-US"/>
              </w:rPr>
              <w:t xml:space="preserve"> </w:t>
            </w:r>
            <w:proofErr w:type="spellStart"/>
            <w:r w:rsidR="0091738D">
              <w:rPr>
                <w:color w:val="000000"/>
                <w:sz w:val="26"/>
                <w:szCs w:val="26"/>
                <w:lang w:val="en-US"/>
              </w:rPr>
              <w:t>khẩu</w:t>
            </w:r>
            <w:proofErr w:type="spellEnd"/>
            <w:r w:rsidR="0091738D">
              <w:rPr>
                <w:color w:val="000000"/>
                <w:sz w:val="26"/>
                <w:szCs w:val="26"/>
                <w:lang w:val="en-US"/>
              </w:rPr>
              <w:t xml:space="preserve"> </w:t>
            </w:r>
            <w:proofErr w:type="spellStart"/>
            <w:r w:rsidR="0091738D">
              <w:rPr>
                <w:color w:val="000000"/>
                <w:sz w:val="26"/>
                <w:szCs w:val="26"/>
                <w:lang w:val="en-US"/>
              </w:rPr>
              <w:t>ưu</w:t>
            </w:r>
            <w:proofErr w:type="spellEnd"/>
            <w:r w:rsidR="0091738D">
              <w:rPr>
                <w:color w:val="000000"/>
                <w:sz w:val="26"/>
                <w:szCs w:val="26"/>
                <w:lang w:val="en-US"/>
              </w:rPr>
              <w:t xml:space="preserve"> </w:t>
            </w:r>
            <w:proofErr w:type="spellStart"/>
            <w:r w:rsidR="0091738D">
              <w:rPr>
                <w:color w:val="000000"/>
                <w:sz w:val="26"/>
                <w:szCs w:val="26"/>
                <w:lang w:val="en-US"/>
              </w:rPr>
              <w:t>đãi</w:t>
            </w:r>
            <w:proofErr w:type="spellEnd"/>
            <w:r w:rsidR="0091738D">
              <w:rPr>
                <w:color w:val="000000"/>
                <w:sz w:val="26"/>
                <w:szCs w:val="26"/>
                <w:lang w:val="en-US"/>
              </w:rPr>
              <w:t xml:space="preserve"> </w:t>
            </w:r>
            <w:proofErr w:type="spellStart"/>
            <w:r w:rsidR="0091738D">
              <w:rPr>
                <w:color w:val="000000"/>
                <w:sz w:val="26"/>
                <w:szCs w:val="26"/>
                <w:lang w:val="en-US"/>
              </w:rPr>
              <w:t>theo</w:t>
            </w:r>
            <w:proofErr w:type="spellEnd"/>
            <w:r w:rsidR="0091738D">
              <w:rPr>
                <w:color w:val="000000"/>
                <w:sz w:val="26"/>
                <w:szCs w:val="26"/>
                <w:lang w:val="en-US"/>
              </w:rPr>
              <w:t xml:space="preserve"> </w:t>
            </w:r>
            <w:proofErr w:type="spellStart"/>
            <w:r w:rsidR="0091738D">
              <w:rPr>
                <w:color w:val="000000"/>
                <w:sz w:val="26"/>
                <w:szCs w:val="26"/>
                <w:lang w:val="en-US"/>
              </w:rPr>
              <w:t>công</w:t>
            </w:r>
            <w:proofErr w:type="spellEnd"/>
            <w:r w:rsidR="0091738D">
              <w:rPr>
                <w:color w:val="000000"/>
                <w:sz w:val="26"/>
                <w:szCs w:val="26"/>
                <w:lang w:val="en-US"/>
              </w:rPr>
              <w:t xml:space="preserve"> </w:t>
            </w:r>
            <w:proofErr w:type="spellStart"/>
            <w:r w:rsidR="0091738D">
              <w:rPr>
                <w:color w:val="000000"/>
                <w:sz w:val="26"/>
                <w:szCs w:val="26"/>
                <w:lang w:val="en-US"/>
              </w:rPr>
              <w:t>văn</w:t>
            </w:r>
            <w:proofErr w:type="spellEnd"/>
            <w:r w:rsidR="0091738D">
              <w:rPr>
                <w:color w:val="000000"/>
                <w:sz w:val="26"/>
                <w:szCs w:val="26"/>
                <w:lang w:val="en-US"/>
              </w:rPr>
              <w:t xml:space="preserve"> </w:t>
            </w:r>
            <w:proofErr w:type="spellStart"/>
            <w:r w:rsidR="0091738D">
              <w:rPr>
                <w:color w:val="000000"/>
                <w:sz w:val="26"/>
                <w:szCs w:val="26"/>
                <w:lang w:val="en-US"/>
              </w:rPr>
              <w:t>số</w:t>
            </w:r>
            <w:proofErr w:type="spellEnd"/>
            <w:r w:rsidR="0091738D">
              <w:rPr>
                <w:color w:val="000000"/>
                <w:sz w:val="26"/>
                <w:szCs w:val="26"/>
                <w:lang w:val="en-US"/>
              </w:rPr>
              <w:t xml:space="preserve"> 3662/BTC-CST </w:t>
            </w:r>
            <w:proofErr w:type="spellStart"/>
            <w:r w:rsidR="0091738D">
              <w:rPr>
                <w:color w:val="000000"/>
                <w:sz w:val="26"/>
                <w:szCs w:val="26"/>
                <w:lang w:val="en-US"/>
              </w:rPr>
              <w:t>ngày</w:t>
            </w:r>
            <w:proofErr w:type="spellEnd"/>
            <w:r w:rsidR="0091738D">
              <w:rPr>
                <w:color w:val="000000"/>
                <w:sz w:val="26"/>
                <w:szCs w:val="26"/>
                <w:lang w:val="en-US"/>
              </w:rPr>
              <w:t xml:space="preserve"> 21/4/2022 (</w:t>
            </w:r>
            <w:proofErr w:type="spellStart"/>
            <w:r w:rsidR="0091738D">
              <w:rPr>
                <w:color w:val="000000"/>
                <w:sz w:val="26"/>
                <w:szCs w:val="26"/>
                <w:lang w:val="en-US"/>
              </w:rPr>
              <w:t>trong</w:t>
            </w:r>
            <w:proofErr w:type="spellEnd"/>
            <w:r w:rsidR="0091738D">
              <w:rPr>
                <w:color w:val="000000"/>
                <w:sz w:val="26"/>
                <w:szCs w:val="26"/>
                <w:lang w:val="en-US"/>
              </w:rPr>
              <w:t xml:space="preserve"> </w:t>
            </w:r>
            <w:proofErr w:type="spellStart"/>
            <w:r w:rsidR="0091738D">
              <w:rPr>
                <w:color w:val="000000"/>
                <w:sz w:val="26"/>
                <w:szCs w:val="26"/>
                <w:lang w:val="en-US"/>
              </w:rPr>
              <w:t>đó</w:t>
            </w:r>
            <w:proofErr w:type="spellEnd"/>
            <w:r w:rsidR="0091738D">
              <w:rPr>
                <w:color w:val="000000"/>
                <w:sz w:val="26"/>
                <w:szCs w:val="26"/>
                <w:lang w:val="en-US"/>
              </w:rPr>
              <w:t xml:space="preserve"> </w:t>
            </w:r>
            <w:proofErr w:type="spellStart"/>
            <w:r w:rsidR="0091738D">
              <w:rPr>
                <w:color w:val="000000"/>
                <w:sz w:val="26"/>
                <w:szCs w:val="26"/>
                <w:lang w:val="en-US"/>
              </w:rPr>
              <w:t>có</w:t>
            </w:r>
            <w:proofErr w:type="spellEnd"/>
            <w:r w:rsidR="0091738D">
              <w:rPr>
                <w:color w:val="000000"/>
                <w:sz w:val="26"/>
                <w:szCs w:val="26"/>
                <w:lang w:val="en-US"/>
              </w:rPr>
              <w:t xml:space="preserve"> </w:t>
            </w:r>
            <w:proofErr w:type="spellStart"/>
            <w:r w:rsidR="0091738D">
              <w:rPr>
                <w:color w:val="000000"/>
                <w:sz w:val="26"/>
                <w:szCs w:val="26"/>
                <w:lang w:val="en-US"/>
              </w:rPr>
              <w:t>nội</w:t>
            </w:r>
            <w:proofErr w:type="spellEnd"/>
            <w:r w:rsidR="0091738D">
              <w:rPr>
                <w:color w:val="000000"/>
                <w:sz w:val="26"/>
                <w:szCs w:val="26"/>
                <w:lang w:val="en-US"/>
              </w:rPr>
              <w:t xml:space="preserve"> dung </w:t>
            </w:r>
            <w:proofErr w:type="spellStart"/>
            <w:r w:rsidR="0091738D">
              <w:rPr>
                <w:color w:val="000000"/>
                <w:sz w:val="26"/>
                <w:szCs w:val="26"/>
                <w:lang w:val="en-US"/>
              </w:rPr>
              <w:t>về</w:t>
            </w:r>
            <w:proofErr w:type="spellEnd"/>
            <w:r w:rsidR="0091738D">
              <w:rPr>
                <w:color w:val="000000"/>
                <w:sz w:val="26"/>
                <w:szCs w:val="26"/>
                <w:lang w:val="en-US"/>
              </w:rPr>
              <w:t xml:space="preserve"> </w:t>
            </w:r>
            <w:proofErr w:type="spellStart"/>
            <w:r w:rsidR="0091738D">
              <w:rPr>
                <w:color w:val="000000"/>
                <w:sz w:val="26"/>
                <w:szCs w:val="26"/>
                <w:lang w:val="en-US"/>
              </w:rPr>
              <w:t>điều</w:t>
            </w:r>
            <w:proofErr w:type="spellEnd"/>
            <w:r w:rsidR="0091738D">
              <w:rPr>
                <w:color w:val="000000"/>
                <w:sz w:val="26"/>
                <w:szCs w:val="26"/>
                <w:lang w:val="en-US"/>
              </w:rPr>
              <w:t xml:space="preserve"> </w:t>
            </w:r>
            <w:proofErr w:type="spellStart"/>
            <w:r w:rsidR="0091738D">
              <w:rPr>
                <w:color w:val="000000"/>
                <w:sz w:val="26"/>
                <w:szCs w:val="26"/>
                <w:lang w:val="en-US"/>
              </w:rPr>
              <w:t>chỉnh</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suất</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nhập</w:t>
            </w:r>
            <w:proofErr w:type="spellEnd"/>
            <w:r w:rsidR="0091738D">
              <w:rPr>
                <w:color w:val="000000"/>
                <w:sz w:val="26"/>
                <w:szCs w:val="26"/>
                <w:lang w:val="en-US"/>
              </w:rPr>
              <w:t xml:space="preserve"> </w:t>
            </w:r>
            <w:proofErr w:type="spellStart"/>
            <w:r w:rsidR="0091738D">
              <w:rPr>
                <w:color w:val="000000"/>
                <w:sz w:val="26"/>
                <w:szCs w:val="26"/>
                <w:lang w:val="en-US"/>
              </w:rPr>
              <w:t>khẩu</w:t>
            </w:r>
            <w:proofErr w:type="spellEnd"/>
            <w:r w:rsidR="0091738D">
              <w:rPr>
                <w:color w:val="000000"/>
                <w:sz w:val="26"/>
                <w:szCs w:val="26"/>
                <w:lang w:val="en-US"/>
              </w:rPr>
              <w:t xml:space="preserve"> </w:t>
            </w:r>
            <w:proofErr w:type="spellStart"/>
            <w:r w:rsidR="0091738D">
              <w:rPr>
                <w:color w:val="000000"/>
                <w:sz w:val="26"/>
                <w:szCs w:val="26"/>
                <w:lang w:val="en-US"/>
              </w:rPr>
              <w:t>đối</w:t>
            </w:r>
            <w:proofErr w:type="spellEnd"/>
            <w:r w:rsidR="0091738D">
              <w:rPr>
                <w:color w:val="000000"/>
                <w:sz w:val="26"/>
                <w:szCs w:val="26"/>
                <w:lang w:val="en-US"/>
              </w:rPr>
              <w:t xml:space="preserve"> </w:t>
            </w:r>
            <w:proofErr w:type="spellStart"/>
            <w:r w:rsidR="0091738D">
              <w:rPr>
                <w:color w:val="000000"/>
                <w:sz w:val="26"/>
                <w:szCs w:val="26"/>
                <w:lang w:val="en-US"/>
              </w:rPr>
              <w:t>với</w:t>
            </w:r>
            <w:proofErr w:type="spellEnd"/>
            <w:r w:rsidR="0091738D">
              <w:rPr>
                <w:color w:val="000000"/>
                <w:sz w:val="26"/>
                <w:szCs w:val="26"/>
                <w:lang w:val="en-US"/>
              </w:rPr>
              <w:t xml:space="preserve"> </w:t>
            </w:r>
            <w:proofErr w:type="spellStart"/>
            <w:r w:rsidR="0091738D">
              <w:rPr>
                <w:color w:val="000000"/>
                <w:sz w:val="26"/>
                <w:szCs w:val="26"/>
                <w:lang w:val="en-US"/>
              </w:rPr>
              <w:t>mặt</w:t>
            </w:r>
            <w:proofErr w:type="spellEnd"/>
            <w:r w:rsidR="0091738D">
              <w:rPr>
                <w:color w:val="000000"/>
                <w:sz w:val="26"/>
                <w:szCs w:val="26"/>
                <w:lang w:val="en-US"/>
              </w:rPr>
              <w:t xml:space="preserve"> </w:t>
            </w:r>
            <w:proofErr w:type="spellStart"/>
            <w:r w:rsidR="0091738D">
              <w:rPr>
                <w:color w:val="000000"/>
                <w:sz w:val="26"/>
                <w:szCs w:val="26"/>
                <w:lang w:val="en-US"/>
              </w:rPr>
              <w:t>hàng</w:t>
            </w:r>
            <w:proofErr w:type="spellEnd"/>
            <w:r w:rsidR="0091738D">
              <w:rPr>
                <w:color w:val="000000"/>
                <w:sz w:val="26"/>
                <w:szCs w:val="26"/>
                <w:lang w:val="en-US"/>
              </w:rPr>
              <w:t xml:space="preserve"> </w:t>
            </w:r>
            <w:proofErr w:type="spellStart"/>
            <w:r w:rsidR="0091738D">
              <w:rPr>
                <w:color w:val="000000"/>
                <w:sz w:val="26"/>
                <w:szCs w:val="26"/>
                <w:lang w:val="en-US"/>
              </w:rPr>
              <w:t>xăng</w:t>
            </w:r>
            <w:proofErr w:type="spellEnd"/>
            <w:r w:rsidR="0091738D">
              <w:rPr>
                <w:color w:val="000000"/>
                <w:sz w:val="26"/>
                <w:szCs w:val="26"/>
                <w:lang w:val="en-US"/>
              </w:rPr>
              <w:t xml:space="preserve">). </w:t>
            </w:r>
            <w:proofErr w:type="spellStart"/>
            <w:r w:rsidR="0091738D">
              <w:rPr>
                <w:color w:val="000000"/>
                <w:sz w:val="26"/>
                <w:szCs w:val="26"/>
                <w:lang w:val="en-US"/>
              </w:rPr>
              <w:t>Các</w:t>
            </w:r>
            <w:proofErr w:type="spellEnd"/>
            <w:r w:rsidR="0091738D">
              <w:rPr>
                <w:color w:val="000000"/>
                <w:sz w:val="26"/>
                <w:szCs w:val="26"/>
                <w:lang w:val="en-US"/>
              </w:rPr>
              <w:t xml:space="preserve"> </w:t>
            </w:r>
            <w:proofErr w:type="spellStart"/>
            <w:r w:rsidR="0091738D">
              <w:rPr>
                <w:color w:val="000000"/>
                <w:sz w:val="26"/>
                <w:szCs w:val="26"/>
                <w:lang w:val="en-US"/>
              </w:rPr>
              <w:t>Bộ</w:t>
            </w:r>
            <w:proofErr w:type="spellEnd"/>
            <w:r w:rsidR="0091738D">
              <w:rPr>
                <w:color w:val="000000"/>
                <w:sz w:val="26"/>
                <w:szCs w:val="26"/>
                <w:lang w:val="en-US"/>
              </w:rPr>
              <w:t xml:space="preserve">, </w:t>
            </w:r>
            <w:proofErr w:type="spellStart"/>
            <w:r w:rsidR="0091738D">
              <w:rPr>
                <w:color w:val="000000"/>
                <w:sz w:val="26"/>
                <w:szCs w:val="26"/>
                <w:lang w:val="en-US"/>
              </w:rPr>
              <w:t>ngành</w:t>
            </w:r>
            <w:proofErr w:type="spellEnd"/>
            <w:r w:rsidR="0091738D">
              <w:rPr>
                <w:color w:val="000000"/>
                <w:sz w:val="26"/>
                <w:szCs w:val="26"/>
                <w:lang w:val="en-US"/>
              </w:rPr>
              <w:t xml:space="preserve">, </w:t>
            </w:r>
            <w:proofErr w:type="spellStart"/>
            <w:r w:rsidR="0091738D">
              <w:rPr>
                <w:color w:val="000000"/>
                <w:sz w:val="26"/>
                <w:szCs w:val="26"/>
                <w:lang w:val="en-US"/>
              </w:rPr>
              <w:t>địa</w:t>
            </w:r>
            <w:proofErr w:type="spellEnd"/>
            <w:r w:rsidR="0091738D">
              <w:rPr>
                <w:color w:val="000000"/>
                <w:sz w:val="26"/>
                <w:szCs w:val="26"/>
                <w:lang w:val="en-US"/>
              </w:rPr>
              <w:t xml:space="preserve"> </w:t>
            </w:r>
            <w:proofErr w:type="spellStart"/>
            <w:r w:rsidR="0091738D">
              <w:rPr>
                <w:color w:val="000000"/>
                <w:sz w:val="26"/>
                <w:szCs w:val="26"/>
                <w:lang w:val="en-US"/>
              </w:rPr>
              <w:t>phương</w:t>
            </w:r>
            <w:proofErr w:type="spellEnd"/>
            <w:r w:rsidR="0091738D">
              <w:rPr>
                <w:color w:val="000000"/>
                <w:sz w:val="26"/>
                <w:szCs w:val="26"/>
                <w:lang w:val="en-US"/>
              </w:rPr>
              <w:t xml:space="preserve"> </w:t>
            </w:r>
            <w:proofErr w:type="spellStart"/>
            <w:r w:rsidR="0091738D">
              <w:rPr>
                <w:color w:val="000000"/>
                <w:sz w:val="26"/>
                <w:szCs w:val="26"/>
                <w:lang w:val="en-US"/>
              </w:rPr>
              <w:t>cơ</w:t>
            </w:r>
            <w:proofErr w:type="spellEnd"/>
            <w:r w:rsidR="0091738D">
              <w:rPr>
                <w:color w:val="000000"/>
                <w:sz w:val="26"/>
                <w:szCs w:val="26"/>
                <w:lang w:val="en-US"/>
              </w:rPr>
              <w:t xml:space="preserve"> </w:t>
            </w:r>
            <w:proofErr w:type="spellStart"/>
            <w:r w:rsidR="0091738D">
              <w:rPr>
                <w:color w:val="000000"/>
                <w:sz w:val="26"/>
                <w:szCs w:val="26"/>
                <w:lang w:val="en-US"/>
              </w:rPr>
              <w:t>bản</w:t>
            </w:r>
            <w:proofErr w:type="spellEnd"/>
            <w:r w:rsidR="0091738D">
              <w:rPr>
                <w:color w:val="000000"/>
                <w:sz w:val="26"/>
                <w:szCs w:val="26"/>
                <w:lang w:val="en-US"/>
              </w:rPr>
              <w:t xml:space="preserve"> </w:t>
            </w:r>
            <w:proofErr w:type="spellStart"/>
            <w:r w:rsidR="0091738D">
              <w:rPr>
                <w:color w:val="000000"/>
                <w:sz w:val="26"/>
                <w:szCs w:val="26"/>
                <w:lang w:val="en-US"/>
              </w:rPr>
              <w:t>nhất</w:t>
            </w:r>
            <w:proofErr w:type="spellEnd"/>
            <w:r w:rsidR="0091738D">
              <w:rPr>
                <w:color w:val="000000"/>
                <w:sz w:val="26"/>
                <w:szCs w:val="26"/>
                <w:lang w:val="en-US"/>
              </w:rPr>
              <w:t xml:space="preserve"> </w:t>
            </w:r>
            <w:proofErr w:type="spellStart"/>
            <w:r w:rsidR="0091738D">
              <w:rPr>
                <w:color w:val="000000"/>
                <w:sz w:val="26"/>
                <w:szCs w:val="26"/>
                <w:lang w:val="en-US"/>
              </w:rPr>
              <w:t>trí</w:t>
            </w:r>
            <w:proofErr w:type="spellEnd"/>
            <w:r w:rsidR="0091738D">
              <w:rPr>
                <w:color w:val="000000"/>
                <w:sz w:val="26"/>
                <w:szCs w:val="26"/>
                <w:lang w:val="en-US"/>
              </w:rPr>
              <w:t xml:space="preserve"> </w:t>
            </w:r>
            <w:proofErr w:type="spellStart"/>
            <w:r w:rsidR="0091738D">
              <w:rPr>
                <w:color w:val="000000"/>
                <w:sz w:val="26"/>
                <w:szCs w:val="26"/>
                <w:lang w:val="en-US"/>
              </w:rPr>
              <w:t>với</w:t>
            </w:r>
            <w:proofErr w:type="spellEnd"/>
            <w:r w:rsidR="0091738D">
              <w:rPr>
                <w:color w:val="000000"/>
                <w:sz w:val="26"/>
                <w:szCs w:val="26"/>
                <w:lang w:val="en-US"/>
              </w:rPr>
              <w:t xml:space="preserve"> </w:t>
            </w:r>
            <w:proofErr w:type="spellStart"/>
            <w:r w:rsidR="0091738D">
              <w:rPr>
                <w:color w:val="000000"/>
                <w:sz w:val="26"/>
                <w:szCs w:val="26"/>
                <w:lang w:val="en-US"/>
              </w:rPr>
              <w:t>đề</w:t>
            </w:r>
            <w:proofErr w:type="spellEnd"/>
            <w:r w:rsidR="0091738D">
              <w:rPr>
                <w:color w:val="000000"/>
                <w:sz w:val="26"/>
                <w:szCs w:val="26"/>
                <w:lang w:val="en-US"/>
              </w:rPr>
              <w:t xml:space="preserve"> </w:t>
            </w:r>
            <w:proofErr w:type="spellStart"/>
            <w:r w:rsidR="0091738D">
              <w:rPr>
                <w:color w:val="000000"/>
                <w:sz w:val="26"/>
                <w:szCs w:val="26"/>
                <w:lang w:val="en-US"/>
              </w:rPr>
              <w:t>xuất</w:t>
            </w:r>
            <w:proofErr w:type="spellEnd"/>
            <w:r w:rsidR="0091738D">
              <w:rPr>
                <w:color w:val="000000"/>
                <w:sz w:val="26"/>
                <w:szCs w:val="26"/>
                <w:lang w:val="en-US"/>
              </w:rPr>
              <w:t xml:space="preserve"> </w:t>
            </w:r>
            <w:proofErr w:type="spellStart"/>
            <w:r w:rsidR="0091738D">
              <w:rPr>
                <w:color w:val="000000"/>
                <w:sz w:val="26"/>
                <w:szCs w:val="26"/>
                <w:lang w:val="en-US"/>
              </w:rPr>
              <w:t>điều</w:t>
            </w:r>
            <w:proofErr w:type="spellEnd"/>
            <w:r w:rsidR="0091738D">
              <w:rPr>
                <w:color w:val="000000"/>
                <w:sz w:val="26"/>
                <w:szCs w:val="26"/>
                <w:lang w:val="en-US"/>
              </w:rPr>
              <w:t xml:space="preserve"> </w:t>
            </w:r>
            <w:proofErr w:type="spellStart"/>
            <w:r w:rsidR="0091738D">
              <w:rPr>
                <w:color w:val="000000"/>
                <w:sz w:val="26"/>
                <w:szCs w:val="26"/>
                <w:lang w:val="en-US"/>
              </w:rPr>
              <w:t>chỉnh</w:t>
            </w:r>
            <w:proofErr w:type="spellEnd"/>
            <w:r w:rsidR="0091738D">
              <w:rPr>
                <w:color w:val="000000"/>
                <w:sz w:val="26"/>
                <w:szCs w:val="26"/>
                <w:lang w:val="en-US"/>
              </w:rPr>
              <w:t xml:space="preserve"> </w:t>
            </w:r>
            <w:proofErr w:type="spellStart"/>
            <w:r w:rsidR="0091738D">
              <w:rPr>
                <w:color w:val="000000"/>
                <w:sz w:val="26"/>
                <w:szCs w:val="26"/>
                <w:lang w:val="en-US"/>
              </w:rPr>
              <w:t>giảm</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suất</w:t>
            </w:r>
            <w:proofErr w:type="spellEnd"/>
            <w:r w:rsidR="0091738D">
              <w:rPr>
                <w:color w:val="000000"/>
                <w:sz w:val="26"/>
                <w:szCs w:val="26"/>
                <w:lang w:val="en-US"/>
              </w:rPr>
              <w:t xml:space="preserve"> </w:t>
            </w:r>
            <w:proofErr w:type="spellStart"/>
            <w:r w:rsidR="0091738D">
              <w:rPr>
                <w:color w:val="000000"/>
                <w:sz w:val="26"/>
                <w:szCs w:val="26"/>
                <w:lang w:val="en-US"/>
              </w:rPr>
              <w:t>thuế</w:t>
            </w:r>
            <w:proofErr w:type="spellEnd"/>
            <w:r w:rsidR="0091738D">
              <w:rPr>
                <w:color w:val="000000"/>
                <w:sz w:val="26"/>
                <w:szCs w:val="26"/>
                <w:lang w:val="en-US"/>
              </w:rPr>
              <w:t xml:space="preserve"> </w:t>
            </w:r>
            <w:proofErr w:type="spellStart"/>
            <w:r w:rsidR="0091738D">
              <w:rPr>
                <w:color w:val="000000"/>
                <w:sz w:val="26"/>
                <w:szCs w:val="26"/>
                <w:lang w:val="en-US"/>
              </w:rPr>
              <w:t>nhập</w:t>
            </w:r>
            <w:proofErr w:type="spellEnd"/>
            <w:r w:rsidR="0091738D">
              <w:rPr>
                <w:color w:val="000000"/>
                <w:sz w:val="26"/>
                <w:szCs w:val="26"/>
                <w:lang w:val="en-US"/>
              </w:rPr>
              <w:t xml:space="preserve"> </w:t>
            </w:r>
            <w:proofErr w:type="spellStart"/>
            <w:r w:rsidR="0091738D">
              <w:rPr>
                <w:color w:val="000000"/>
                <w:sz w:val="26"/>
                <w:szCs w:val="26"/>
                <w:lang w:val="en-US"/>
              </w:rPr>
              <w:t>khẩu</w:t>
            </w:r>
            <w:proofErr w:type="spellEnd"/>
            <w:r w:rsidR="0091738D">
              <w:rPr>
                <w:color w:val="000000"/>
                <w:sz w:val="26"/>
                <w:szCs w:val="26"/>
                <w:lang w:val="en-US"/>
              </w:rPr>
              <w:t xml:space="preserve"> </w:t>
            </w:r>
            <w:proofErr w:type="spellStart"/>
            <w:r w:rsidR="0091738D">
              <w:rPr>
                <w:color w:val="000000"/>
                <w:sz w:val="26"/>
                <w:szCs w:val="26"/>
                <w:lang w:val="en-US"/>
              </w:rPr>
              <w:t>ưu</w:t>
            </w:r>
            <w:proofErr w:type="spellEnd"/>
            <w:r w:rsidR="0091738D">
              <w:rPr>
                <w:color w:val="000000"/>
                <w:sz w:val="26"/>
                <w:szCs w:val="26"/>
                <w:lang w:val="en-US"/>
              </w:rPr>
              <w:t xml:space="preserve"> </w:t>
            </w:r>
            <w:proofErr w:type="spellStart"/>
            <w:r w:rsidR="0091738D">
              <w:rPr>
                <w:color w:val="000000"/>
                <w:sz w:val="26"/>
                <w:szCs w:val="26"/>
                <w:lang w:val="en-US"/>
              </w:rPr>
              <w:t>đãi</w:t>
            </w:r>
            <w:proofErr w:type="spellEnd"/>
            <w:r w:rsidR="0091738D">
              <w:rPr>
                <w:color w:val="000000"/>
                <w:sz w:val="26"/>
                <w:szCs w:val="26"/>
                <w:lang w:val="en-US"/>
              </w:rPr>
              <w:t xml:space="preserve"> MFN </w:t>
            </w:r>
            <w:proofErr w:type="spellStart"/>
            <w:r w:rsidR="0091738D">
              <w:rPr>
                <w:color w:val="000000"/>
                <w:sz w:val="26"/>
                <w:szCs w:val="26"/>
                <w:lang w:val="en-US"/>
              </w:rPr>
              <w:t>đối</w:t>
            </w:r>
            <w:proofErr w:type="spellEnd"/>
            <w:r w:rsidR="0091738D">
              <w:rPr>
                <w:color w:val="000000"/>
                <w:sz w:val="26"/>
                <w:szCs w:val="26"/>
                <w:lang w:val="en-US"/>
              </w:rPr>
              <w:t xml:space="preserve"> </w:t>
            </w:r>
            <w:proofErr w:type="spellStart"/>
            <w:r w:rsidR="0091738D">
              <w:rPr>
                <w:color w:val="000000"/>
                <w:sz w:val="26"/>
                <w:szCs w:val="26"/>
                <w:lang w:val="en-US"/>
              </w:rPr>
              <w:t>với</w:t>
            </w:r>
            <w:proofErr w:type="spellEnd"/>
            <w:r w:rsidR="0091738D">
              <w:rPr>
                <w:color w:val="000000"/>
                <w:sz w:val="26"/>
                <w:szCs w:val="26"/>
                <w:lang w:val="en-US"/>
              </w:rPr>
              <w:t xml:space="preserve"> </w:t>
            </w:r>
            <w:proofErr w:type="spellStart"/>
            <w:r w:rsidR="0091738D">
              <w:rPr>
                <w:color w:val="000000"/>
                <w:sz w:val="26"/>
                <w:szCs w:val="26"/>
                <w:lang w:val="en-US"/>
              </w:rPr>
              <w:t>mặt</w:t>
            </w:r>
            <w:proofErr w:type="spellEnd"/>
            <w:r w:rsidR="0091738D">
              <w:rPr>
                <w:color w:val="000000"/>
                <w:sz w:val="26"/>
                <w:szCs w:val="26"/>
                <w:lang w:val="en-US"/>
              </w:rPr>
              <w:t xml:space="preserve"> </w:t>
            </w:r>
            <w:proofErr w:type="spellStart"/>
            <w:r w:rsidR="0091738D">
              <w:rPr>
                <w:color w:val="000000"/>
                <w:sz w:val="26"/>
                <w:szCs w:val="26"/>
                <w:lang w:val="en-US"/>
              </w:rPr>
              <w:t>hàng</w:t>
            </w:r>
            <w:proofErr w:type="spellEnd"/>
            <w:r w:rsidR="0091738D">
              <w:rPr>
                <w:color w:val="000000"/>
                <w:sz w:val="26"/>
                <w:szCs w:val="26"/>
                <w:lang w:val="en-US"/>
              </w:rPr>
              <w:t xml:space="preserve"> </w:t>
            </w:r>
            <w:proofErr w:type="spellStart"/>
            <w:r w:rsidR="0091738D">
              <w:rPr>
                <w:color w:val="000000"/>
                <w:sz w:val="26"/>
                <w:szCs w:val="26"/>
                <w:lang w:val="en-US"/>
              </w:rPr>
              <w:t>xăng</w:t>
            </w:r>
            <w:proofErr w:type="spellEnd"/>
            <w:r w:rsidR="0091738D">
              <w:rPr>
                <w:color w:val="000000"/>
                <w:sz w:val="26"/>
                <w:szCs w:val="26"/>
                <w:lang w:val="en-US"/>
              </w:rPr>
              <w:t xml:space="preserve"> </w:t>
            </w:r>
            <w:proofErr w:type="spellStart"/>
            <w:r w:rsidR="0091738D">
              <w:rPr>
                <w:color w:val="000000"/>
                <w:sz w:val="26"/>
                <w:szCs w:val="26"/>
                <w:lang w:val="en-US"/>
              </w:rPr>
              <w:t>của</w:t>
            </w:r>
            <w:proofErr w:type="spellEnd"/>
            <w:r w:rsidR="0091738D">
              <w:rPr>
                <w:color w:val="000000"/>
                <w:sz w:val="26"/>
                <w:szCs w:val="26"/>
                <w:lang w:val="en-US"/>
              </w:rPr>
              <w:t xml:space="preserve"> </w:t>
            </w:r>
            <w:proofErr w:type="spellStart"/>
            <w:r w:rsidR="0091738D">
              <w:rPr>
                <w:color w:val="000000"/>
                <w:sz w:val="26"/>
                <w:szCs w:val="26"/>
                <w:lang w:val="en-US"/>
              </w:rPr>
              <w:t>Bộ</w:t>
            </w:r>
            <w:proofErr w:type="spellEnd"/>
            <w:r w:rsidR="0091738D">
              <w:rPr>
                <w:color w:val="000000"/>
                <w:sz w:val="26"/>
                <w:szCs w:val="26"/>
                <w:lang w:val="en-US"/>
              </w:rPr>
              <w:t xml:space="preserve"> </w:t>
            </w:r>
            <w:proofErr w:type="spellStart"/>
            <w:r w:rsidR="0091738D">
              <w:rPr>
                <w:color w:val="000000"/>
                <w:sz w:val="26"/>
                <w:szCs w:val="26"/>
                <w:lang w:val="en-US"/>
              </w:rPr>
              <w:t>Tài</w:t>
            </w:r>
            <w:proofErr w:type="spellEnd"/>
            <w:r w:rsidR="0091738D">
              <w:rPr>
                <w:color w:val="000000"/>
                <w:sz w:val="26"/>
                <w:szCs w:val="26"/>
                <w:lang w:val="en-US"/>
              </w:rPr>
              <w:t xml:space="preserve"> </w:t>
            </w:r>
            <w:proofErr w:type="spellStart"/>
            <w:r w:rsidR="0091738D">
              <w:rPr>
                <w:color w:val="000000"/>
                <w:sz w:val="26"/>
                <w:szCs w:val="26"/>
                <w:lang w:val="en-US"/>
              </w:rPr>
              <w:t>chính</w:t>
            </w:r>
            <w:proofErr w:type="spellEnd"/>
            <w:r w:rsidR="0091738D">
              <w:rPr>
                <w:color w:val="000000"/>
                <w:sz w:val="26"/>
                <w:szCs w:val="26"/>
                <w:lang w:val="en-US"/>
              </w:rPr>
              <w:t>.</w:t>
            </w:r>
            <w:r w:rsidR="0091738D">
              <w:rPr>
                <w:rStyle w:val="FootnoteReference"/>
                <w:color w:val="000000"/>
                <w:sz w:val="26"/>
                <w:szCs w:val="26"/>
                <w:lang w:val="en-US"/>
              </w:rPr>
              <w:footnoteReference w:id="1"/>
            </w:r>
            <w:r w:rsidR="0091738D">
              <w:rPr>
                <w:color w:val="000000"/>
                <w:sz w:val="26"/>
                <w:szCs w:val="26"/>
                <w:lang w:val="en-US"/>
              </w:rPr>
              <w:t xml:space="preserve"> </w:t>
            </w:r>
            <w:proofErr w:type="spellStart"/>
            <w:r w:rsidR="0091738D">
              <w:rPr>
                <w:color w:val="000000"/>
                <w:sz w:val="26"/>
                <w:szCs w:val="26"/>
                <w:lang w:val="en-US"/>
              </w:rPr>
              <w:t>Một</w:t>
            </w:r>
            <w:proofErr w:type="spellEnd"/>
            <w:r w:rsidR="0091738D">
              <w:rPr>
                <w:color w:val="000000"/>
                <w:sz w:val="26"/>
                <w:szCs w:val="26"/>
                <w:lang w:val="en-US"/>
              </w:rPr>
              <w:t xml:space="preserve"> </w:t>
            </w:r>
            <w:proofErr w:type="spellStart"/>
            <w:r w:rsidR="0091738D">
              <w:rPr>
                <w:color w:val="000000"/>
                <w:sz w:val="26"/>
                <w:szCs w:val="26"/>
                <w:lang w:val="en-US"/>
              </w:rPr>
              <w:t>số</w:t>
            </w:r>
            <w:proofErr w:type="spellEnd"/>
            <w:r w:rsidR="0091738D">
              <w:rPr>
                <w:color w:val="000000"/>
                <w:sz w:val="26"/>
                <w:szCs w:val="26"/>
                <w:lang w:val="en-US"/>
              </w:rPr>
              <w:t xml:space="preserve"> ý </w:t>
            </w:r>
            <w:proofErr w:type="spellStart"/>
            <w:r w:rsidR="0091738D">
              <w:rPr>
                <w:color w:val="000000"/>
                <w:sz w:val="26"/>
                <w:szCs w:val="26"/>
                <w:lang w:val="en-US"/>
              </w:rPr>
              <w:t>kiến</w:t>
            </w:r>
            <w:proofErr w:type="spellEnd"/>
            <w:r w:rsidR="0091738D">
              <w:rPr>
                <w:color w:val="000000"/>
                <w:sz w:val="26"/>
                <w:szCs w:val="26"/>
                <w:lang w:val="en-US"/>
              </w:rPr>
              <w:t xml:space="preserve"> </w:t>
            </w:r>
            <w:proofErr w:type="spellStart"/>
            <w:r w:rsidR="0091738D">
              <w:rPr>
                <w:color w:val="000000"/>
                <w:sz w:val="26"/>
                <w:szCs w:val="26"/>
                <w:lang w:val="en-US"/>
              </w:rPr>
              <w:t>tham</w:t>
            </w:r>
            <w:proofErr w:type="spellEnd"/>
            <w:r w:rsidR="0091738D">
              <w:rPr>
                <w:color w:val="000000"/>
                <w:sz w:val="26"/>
                <w:szCs w:val="26"/>
                <w:lang w:val="en-US"/>
              </w:rPr>
              <w:t xml:space="preserve"> </w:t>
            </w:r>
            <w:proofErr w:type="spellStart"/>
            <w:r w:rsidR="0091738D">
              <w:rPr>
                <w:color w:val="000000"/>
                <w:sz w:val="26"/>
                <w:szCs w:val="26"/>
                <w:lang w:val="en-US"/>
              </w:rPr>
              <w:t>gia</w:t>
            </w:r>
            <w:proofErr w:type="spellEnd"/>
            <w:r w:rsidR="0091738D">
              <w:rPr>
                <w:color w:val="000000"/>
                <w:sz w:val="26"/>
                <w:szCs w:val="26"/>
                <w:lang w:val="en-US"/>
              </w:rPr>
              <w:t xml:space="preserve"> </w:t>
            </w:r>
            <w:proofErr w:type="spellStart"/>
            <w:r w:rsidR="0091738D">
              <w:rPr>
                <w:color w:val="000000"/>
                <w:sz w:val="26"/>
                <w:szCs w:val="26"/>
                <w:lang w:val="en-US"/>
              </w:rPr>
              <w:t>cụ</w:t>
            </w:r>
            <w:proofErr w:type="spellEnd"/>
            <w:r w:rsidR="0091738D">
              <w:rPr>
                <w:color w:val="000000"/>
                <w:sz w:val="26"/>
                <w:szCs w:val="26"/>
                <w:lang w:val="en-US"/>
              </w:rPr>
              <w:t xml:space="preserve"> </w:t>
            </w:r>
            <w:proofErr w:type="spellStart"/>
            <w:r w:rsidR="0091738D">
              <w:rPr>
                <w:color w:val="000000"/>
                <w:sz w:val="26"/>
                <w:szCs w:val="26"/>
                <w:lang w:val="en-US"/>
              </w:rPr>
              <w:t>thể</w:t>
            </w:r>
            <w:proofErr w:type="spellEnd"/>
            <w:r w:rsidR="0091738D">
              <w:rPr>
                <w:color w:val="000000"/>
                <w:sz w:val="26"/>
                <w:szCs w:val="26"/>
                <w:lang w:val="en-US"/>
              </w:rPr>
              <w:t xml:space="preserve">, </w:t>
            </w:r>
            <w:proofErr w:type="spellStart"/>
            <w:r w:rsidR="0091738D">
              <w:rPr>
                <w:color w:val="000000"/>
                <w:sz w:val="26"/>
                <w:szCs w:val="26"/>
                <w:lang w:val="en-US"/>
              </w:rPr>
              <w:t>Bộ</w:t>
            </w:r>
            <w:proofErr w:type="spellEnd"/>
            <w:r w:rsidR="0091738D">
              <w:rPr>
                <w:color w:val="000000"/>
                <w:sz w:val="26"/>
                <w:szCs w:val="26"/>
                <w:lang w:val="en-US"/>
              </w:rPr>
              <w:t xml:space="preserve"> </w:t>
            </w:r>
            <w:proofErr w:type="spellStart"/>
            <w:r w:rsidR="0091738D">
              <w:rPr>
                <w:color w:val="000000"/>
                <w:sz w:val="26"/>
                <w:szCs w:val="26"/>
                <w:lang w:val="en-US"/>
              </w:rPr>
              <w:t>Tài</w:t>
            </w:r>
            <w:proofErr w:type="spellEnd"/>
            <w:r w:rsidR="0091738D">
              <w:rPr>
                <w:color w:val="000000"/>
                <w:sz w:val="26"/>
                <w:szCs w:val="26"/>
                <w:lang w:val="en-US"/>
              </w:rPr>
              <w:t xml:space="preserve"> </w:t>
            </w:r>
            <w:proofErr w:type="spellStart"/>
            <w:r w:rsidR="0091738D">
              <w:rPr>
                <w:color w:val="000000"/>
                <w:sz w:val="26"/>
                <w:szCs w:val="26"/>
                <w:lang w:val="en-US"/>
              </w:rPr>
              <w:t>chính</w:t>
            </w:r>
            <w:proofErr w:type="spellEnd"/>
            <w:r w:rsidR="0091738D">
              <w:rPr>
                <w:color w:val="000000"/>
                <w:sz w:val="26"/>
                <w:szCs w:val="26"/>
                <w:lang w:val="en-US"/>
              </w:rPr>
              <w:t xml:space="preserve"> </w:t>
            </w:r>
            <w:proofErr w:type="spellStart"/>
            <w:r w:rsidR="0091738D">
              <w:rPr>
                <w:color w:val="000000"/>
                <w:sz w:val="26"/>
                <w:szCs w:val="26"/>
                <w:lang w:val="en-US"/>
              </w:rPr>
              <w:t>giải</w:t>
            </w:r>
            <w:proofErr w:type="spellEnd"/>
            <w:r w:rsidR="0091738D">
              <w:rPr>
                <w:color w:val="000000"/>
                <w:sz w:val="26"/>
                <w:szCs w:val="26"/>
                <w:lang w:val="en-US"/>
              </w:rPr>
              <w:t xml:space="preserve"> </w:t>
            </w:r>
            <w:proofErr w:type="spellStart"/>
            <w:r w:rsidR="0091738D">
              <w:rPr>
                <w:color w:val="000000"/>
                <w:sz w:val="26"/>
                <w:szCs w:val="26"/>
                <w:lang w:val="en-US"/>
              </w:rPr>
              <w:t>trình</w:t>
            </w:r>
            <w:proofErr w:type="spellEnd"/>
            <w:r w:rsidR="0091738D">
              <w:rPr>
                <w:color w:val="000000"/>
                <w:sz w:val="26"/>
                <w:szCs w:val="26"/>
                <w:lang w:val="en-US"/>
              </w:rPr>
              <w:t xml:space="preserve"> </w:t>
            </w:r>
            <w:proofErr w:type="spellStart"/>
            <w:r w:rsidR="0091738D">
              <w:rPr>
                <w:color w:val="000000"/>
                <w:sz w:val="26"/>
                <w:szCs w:val="26"/>
                <w:lang w:val="en-US"/>
              </w:rPr>
              <w:t>như</w:t>
            </w:r>
            <w:proofErr w:type="spellEnd"/>
            <w:r w:rsidR="0091738D">
              <w:rPr>
                <w:color w:val="000000"/>
                <w:sz w:val="26"/>
                <w:szCs w:val="26"/>
                <w:lang w:val="en-US"/>
              </w:rPr>
              <w:t xml:space="preserve"> </w:t>
            </w:r>
            <w:proofErr w:type="spellStart"/>
            <w:r w:rsidR="0091738D">
              <w:rPr>
                <w:color w:val="000000"/>
                <w:sz w:val="26"/>
                <w:szCs w:val="26"/>
                <w:lang w:val="en-US"/>
              </w:rPr>
              <w:t>tại</w:t>
            </w:r>
            <w:proofErr w:type="spellEnd"/>
            <w:r w:rsidR="0091738D">
              <w:rPr>
                <w:color w:val="000000"/>
                <w:sz w:val="26"/>
                <w:szCs w:val="26"/>
                <w:lang w:val="en-US"/>
              </w:rPr>
              <w:t xml:space="preserve"> </w:t>
            </w:r>
            <w:proofErr w:type="spellStart"/>
            <w:r w:rsidR="0091738D">
              <w:rPr>
                <w:color w:val="000000"/>
                <w:sz w:val="26"/>
                <w:szCs w:val="26"/>
                <w:lang w:val="en-US"/>
              </w:rPr>
              <w:t>mục</w:t>
            </w:r>
            <w:proofErr w:type="spellEnd"/>
            <w:r w:rsidR="0091738D">
              <w:rPr>
                <w:color w:val="000000"/>
                <w:sz w:val="26"/>
                <w:szCs w:val="26"/>
                <w:lang w:val="en-US"/>
              </w:rPr>
              <w:t xml:space="preserve"> II </w:t>
            </w:r>
            <w:proofErr w:type="spellStart"/>
            <w:r w:rsidR="0091738D">
              <w:rPr>
                <w:color w:val="000000"/>
                <w:sz w:val="26"/>
                <w:szCs w:val="26"/>
                <w:lang w:val="en-US"/>
              </w:rPr>
              <w:t>dưới</w:t>
            </w:r>
            <w:proofErr w:type="spellEnd"/>
            <w:r w:rsidR="0091738D">
              <w:rPr>
                <w:color w:val="000000"/>
                <w:sz w:val="26"/>
                <w:szCs w:val="26"/>
                <w:lang w:val="en-US"/>
              </w:rPr>
              <w:t xml:space="preserve"> </w:t>
            </w:r>
            <w:proofErr w:type="spellStart"/>
            <w:r w:rsidR="0091738D">
              <w:rPr>
                <w:color w:val="000000"/>
                <w:sz w:val="26"/>
                <w:szCs w:val="26"/>
                <w:lang w:val="en-US"/>
              </w:rPr>
              <w:t>đây</w:t>
            </w:r>
            <w:proofErr w:type="spellEnd"/>
            <w:r w:rsidR="0091738D">
              <w:rPr>
                <w:color w:val="000000"/>
                <w:sz w:val="26"/>
                <w:szCs w:val="26"/>
                <w:lang w:val="en-US"/>
              </w:rPr>
              <w:t>.</w:t>
            </w:r>
          </w:p>
        </w:tc>
      </w:tr>
      <w:tr w:rsidR="0091738D" w:rsidRPr="00646F98" w:rsidTr="0091738D">
        <w:trPr>
          <w:trHeight w:val="178"/>
        </w:trPr>
        <w:tc>
          <w:tcPr>
            <w:tcW w:w="675" w:type="dxa"/>
          </w:tcPr>
          <w:p w:rsidR="0091738D" w:rsidRPr="00646F98" w:rsidRDefault="0091738D" w:rsidP="000D0966">
            <w:pPr>
              <w:widowControl w:val="0"/>
              <w:spacing w:beforeLines="40" w:afterLines="20"/>
              <w:jc w:val="center"/>
              <w:rPr>
                <w:b/>
                <w:sz w:val="26"/>
                <w:szCs w:val="26"/>
                <w:lang w:val="en-US"/>
              </w:rPr>
            </w:pPr>
            <w:r>
              <w:rPr>
                <w:b/>
                <w:sz w:val="26"/>
                <w:szCs w:val="26"/>
                <w:lang w:val="en-US"/>
              </w:rPr>
              <w:lastRenderedPageBreak/>
              <w:t>II</w:t>
            </w:r>
          </w:p>
        </w:tc>
        <w:tc>
          <w:tcPr>
            <w:tcW w:w="14034" w:type="dxa"/>
            <w:gridSpan w:val="3"/>
          </w:tcPr>
          <w:p w:rsidR="0091738D" w:rsidRPr="00646F98" w:rsidRDefault="0091738D" w:rsidP="000D0966">
            <w:pPr>
              <w:widowControl w:val="0"/>
              <w:spacing w:beforeLines="40" w:afterLines="20"/>
              <w:rPr>
                <w:b/>
                <w:sz w:val="26"/>
                <w:szCs w:val="26"/>
                <w:lang w:val="en-US"/>
              </w:rPr>
            </w:pPr>
            <w:proofErr w:type="spellStart"/>
            <w:r w:rsidRPr="00646F98">
              <w:rPr>
                <w:b/>
                <w:sz w:val="26"/>
                <w:szCs w:val="26"/>
                <w:lang w:val="en-US"/>
              </w:rPr>
              <w:t>Các</w:t>
            </w:r>
            <w:proofErr w:type="spellEnd"/>
            <w:r w:rsidRPr="00646F98">
              <w:rPr>
                <w:b/>
                <w:sz w:val="26"/>
                <w:szCs w:val="26"/>
                <w:lang w:val="en-US"/>
              </w:rPr>
              <w:t xml:space="preserve"> ý </w:t>
            </w:r>
            <w:proofErr w:type="spellStart"/>
            <w:r w:rsidRPr="00646F98">
              <w:rPr>
                <w:b/>
                <w:sz w:val="26"/>
                <w:szCs w:val="26"/>
                <w:lang w:val="en-US"/>
              </w:rPr>
              <w:t>kiến</w:t>
            </w:r>
            <w:proofErr w:type="spellEnd"/>
            <w:r w:rsidRPr="00646F98">
              <w:rPr>
                <w:b/>
                <w:sz w:val="26"/>
                <w:szCs w:val="26"/>
                <w:lang w:val="en-US"/>
              </w:rPr>
              <w:t xml:space="preserve"> </w:t>
            </w:r>
            <w:proofErr w:type="spellStart"/>
            <w:r w:rsidRPr="00646F98">
              <w:rPr>
                <w:b/>
                <w:sz w:val="26"/>
                <w:szCs w:val="26"/>
                <w:lang w:val="en-US"/>
              </w:rPr>
              <w:t>tham</w:t>
            </w:r>
            <w:proofErr w:type="spellEnd"/>
            <w:r w:rsidRPr="00646F98">
              <w:rPr>
                <w:b/>
                <w:sz w:val="26"/>
                <w:szCs w:val="26"/>
                <w:lang w:val="en-US"/>
              </w:rPr>
              <w:t xml:space="preserve"> </w:t>
            </w:r>
            <w:proofErr w:type="spellStart"/>
            <w:r w:rsidRPr="00646F98">
              <w:rPr>
                <w:b/>
                <w:sz w:val="26"/>
                <w:szCs w:val="26"/>
                <w:lang w:val="en-US"/>
              </w:rPr>
              <w:t>gia</w:t>
            </w:r>
            <w:proofErr w:type="spellEnd"/>
            <w:r>
              <w:rPr>
                <w:b/>
                <w:sz w:val="26"/>
                <w:szCs w:val="26"/>
                <w:lang w:val="en-US"/>
              </w:rPr>
              <w:t xml:space="preserve"> </w:t>
            </w:r>
            <w:proofErr w:type="spellStart"/>
            <w:r>
              <w:rPr>
                <w:b/>
                <w:sz w:val="26"/>
                <w:szCs w:val="26"/>
                <w:lang w:val="en-US"/>
              </w:rPr>
              <w:t>cụ</w:t>
            </w:r>
            <w:proofErr w:type="spellEnd"/>
            <w:r>
              <w:rPr>
                <w:b/>
                <w:sz w:val="26"/>
                <w:szCs w:val="26"/>
                <w:lang w:val="en-US"/>
              </w:rPr>
              <w:t xml:space="preserve"> </w:t>
            </w:r>
            <w:proofErr w:type="spellStart"/>
            <w:r>
              <w:rPr>
                <w:b/>
                <w:sz w:val="26"/>
                <w:szCs w:val="26"/>
                <w:lang w:val="en-US"/>
              </w:rPr>
              <w:t>thể</w:t>
            </w:r>
            <w:proofErr w:type="spellEnd"/>
            <w:r w:rsidRPr="00646F98">
              <w:rPr>
                <w:b/>
                <w:sz w:val="26"/>
                <w:szCs w:val="26"/>
                <w:lang w:val="en-US"/>
              </w:rPr>
              <w:t xml:space="preserve"> </w:t>
            </w:r>
            <w:proofErr w:type="spellStart"/>
            <w:r>
              <w:rPr>
                <w:b/>
                <w:sz w:val="26"/>
                <w:szCs w:val="26"/>
                <w:lang w:val="en-US"/>
              </w:rPr>
              <w:t>của</w:t>
            </w:r>
            <w:proofErr w:type="spellEnd"/>
            <w:r w:rsidRPr="00646F98">
              <w:rPr>
                <w:b/>
                <w:sz w:val="26"/>
                <w:szCs w:val="26"/>
                <w:lang w:val="en-US"/>
              </w:rPr>
              <w:t xml:space="preserve"> </w:t>
            </w:r>
            <w:proofErr w:type="spellStart"/>
            <w:r w:rsidRPr="00646F98">
              <w:rPr>
                <w:b/>
                <w:sz w:val="26"/>
                <w:szCs w:val="26"/>
                <w:lang w:val="en-US"/>
              </w:rPr>
              <w:t>các</w:t>
            </w:r>
            <w:proofErr w:type="spellEnd"/>
            <w:r w:rsidRPr="00646F98">
              <w:rPr>
                <w:b/>
                <w:sz w:val="26"/>
                <w:szCs w:val="26"/>
                <w:lang w:val="en-US"/>
              </w:rPr>
              <w:t xml:space="preserve"> </w:t>
            </w:r>
            <w:proofErr w:type="spellStart"/>
            <w:r w:rsidRPr="00646F98">
              <w:rPr>
                <w:b/>
                <w:sz w:val="26"/>
                <w:szCs w:val="26"/>
                <w:lang w:val="en-US"/>
              </w:rPr>
              <w:t>Bộ</w:t>
            </w:r>
            <w:proofErr w:type="spellEnd"/>
            <w:r w:rsidRPr="00646F98">
              <w:rPr>
                <w:b/>
                <w:sz w:val="26"/>
                <w:szCs w:val="26"/>
                <w:lang w:val="en-US"/>
              </w:rPr>
              <w:t xml:space="preserve">, </w:t>
            </w:r>
            <w:proofErr w:type="spellStart"/>
            <w:r w:rsidRPr="00646F98">
              <w:rPr>
                <w:b/>
                <w:sz w:val="26"/>
                <w:szCs w:val="26"/>
                <w:lang w:val="en-US"/>
              </w:rPr>
              <w:t>ngành</w:t>
            </w:r>
            <w:proofErr w:type="spellEnd"/>
            <w:r w:rsidRPr="00646F98">
              <w:rPr>
                <w:b/>
                <w:sz w:val="26"/>
                <w:szCs w:val="26"/>
                <w:lang w:val="en-US"/>
              </w:rPr>
              <w:t xml:space="preserve">, </w:t>
            </w:r>
            <w:proofErr w:type="spellStart"/>
            <w:r w:rsidRPr="00646F98">
              <w:rPr>
                <w:b/>
                <w:sz w:val="26"/>
                <w:szCs w:val="26"/>
                <w:lang w:val="en-US"/>
              </w:rPr>
              <w:t>địa</w:t>
            </w:r>
            <w:proofErr w:type="spellEnd"/>
            <w:r w:rsidRPr="00646F98">
              <w:rPr>
                <w:b/>
                <w:sz w:val="26"/>
                <w:szCs w:val="26"/>
                <w:lang w:val="en-US"/>
              </w:rPr>
              <w:t xml:space="preserve"> </w:t>
            </w:r>
            <w:proofErr w:type="spellStart"/>
            <w:r w:rsidRPr="00646F98">
              <w:rPr>
                <w:b/>
                <w:sz w:val="26"/>
                <w:szCs w:val="26"/>
                <w:lang w:val="en-US"/>
              </w:rPr>
              <w:t>phương</w:t>
            </w:r>
            <w:proofErr w:type="spellEnd"/>
          </w:p>
        </w:tc>
      </w:tr>
      <w:tr w:rsidR="0091738D" w:rsidRPr="00646F98" w:rsidTr="0091738D">
        <w:trPr>
          <w:trHeight w:val="567"/>
        </w:trPr>
        <w:tc>
          <w:tcPr>
            <w:tcW w:w="675" w:type="dxa"/>
          </w:tcPr>
          <w:p w:rsidR="0091738D" w:rsidRPr="0091738D" w:rsidRDefault="0091738D" w:rsidP="000D0966">
            <w:pPr>
              <w:pStyle w:val="ListParagraph"/>
              <w:widowControl w:val="0"/>
              <w:numPr>
                <w:ilvl w:val="0"/>
                <w:numId w:val="2"/>
              </w:numPr>
              <w:spacing w:beforeLines="40" w:afterLines="20"/>
              <w:jc w:val="center"/>
              <w:rPr>
                <w:sz w:val="26"/>
                <w:szCs w:val="26"/>
              </w:rPr>
            </w:pPr>
          </w:p>
        </w:tc>
        <w:tc>
          <w:tcPr>
            <w:tcW w:w="4536" w:type="dxa"/>
          </w:tcPr>
          <w:p w:rsidR="00762858" w:rsidRDefault="00762858" w:rsidP="000D0966">
            <w:pPr>
              <w:widowControl w:val="0"/>
              <w:spacing w:beforeLines="40" w:afterLines="20"/>
              <w:rPr>
                <w:sz w:val="26"/>
                <w:szCs w:val="26"/>
                <w:lang w:val="en-US"/>
              </w:rPr>
            </w:pPr>
            <w:proofErr w:type="spellStart"/>
            <w:r>
              <w:rPr>
                <w:sz w:val="26"/>
                <w:szCs w:val="26"/>
                <w:lang w:val="en-US"/>
              </w:rPr>
              <w:t>Bộ</w:t>
            </w:r>
            <w:proofErr w:type="spellEnd"/>
            <w:r>
              <w:rPr>
                <w:sz w:val="26"/>
                <w:szCs w:val="26"/>
                <w:lang w:val="en-US"/>
              </w:rPr>
              <w:t xml:space="preserve"> </w:t>
            </w:r>
            <w:proofErr w:type="spellStart"/>
            <w:r>
              <w:rPr>
                <w:sz w:val="26"/>
                <w:szCs w:val="26"/>
                <w:lang w:val="en-US"/>
              </w:rPr>
              <w:t>Kế</w:t>
            </w:r>
            <w:proofErr w:type="spellEnd"/>
            <w:r>
              <w:rPr>
                <w:sz w:val="26"/>
                <w:szCs w:val="26"/>
                <w:lang w:val="en-US"/>
              </w:rPr>
              <w:t xml:space="preserve"> </w:t>
            </w:r>
            <w:proofErr w:type="spellStart"/>
            <w:r>
              <w:rPr>
                <w:sz w:val="26"/>
                <w:szCs w:val="26"/>
                <w:lang w:val="en-US"/>
              </w:rPr>
              <w:t>hoạch</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Đầu</w:t>
            </w:r>
            <w:proofErr w:type="spellEnd"/>
            <w:r>
              <w:rPr>
                <w:sz w:val="26"/>
                <w:szCs w:val="26"/>
                <w:lang w:val="en-US"/>
              </w:rPr>
              <w:t xml:space="preserve"> </w:t>
            </w:r>
            <w:proofErr w:type="spellStart"/>
            <w:r>
              <w:rPr>
                <w:sz w:val="26"/>
                <w:szCs w:val="26"/>
                <w:lang w:val="en-US"/>
              </w:rPr>
              <w:t>tư</w:t>
            </w:r>
            <w:proofErr w:type="spellEnd"/>
          </w:p>
          <w:p w:rsidR="0091738D" w:rsidRPr="00296B0B" w:rsidRDefault="00762858" w:rsidP="000D0966">
            <w:pPr>
              <w:widowControl w:val="0"/>
              <w:spacing w:beforeLines="40" w:afterLines="20"/>
              <w:rPr>
                <w:sz w:val="26"/>
                <w:szCs w:val="26"/>
                <w:lang w:val="en-US"/>
              </w:rPr>
            </w:pPr>
            <w:r>
              <w:rPr>
                <w:sz w:val="26"/>
                <w:szCs w:val="26"/>
                <w:lang w:val="en-US"/>
              </w:rPr>
              <w:t>(</w:t>
            </w:r>
            <w:proofErr w:type="spellStart"/>
            <w:r>
              <w:rPr>
                <w:sz w:val="26"/>
                <w:szCs w:val="26"/>
                <w:lang w:val="en-US"/>
              </w:rPr>
              <w:t>C</w:t>
            </w:r>
            <w:r w:rsidR="0091738D">
              <w:rPr>
                <w:sz w:val="26"/>
                <w:szCs w:val="26"/>
                <w:lang w:val="en-US"/>
              </w:rPr>
              <w:t>ông</w:t>
            </w:r>
            <w:proofErr w:type="spellEnd"/>
            <w:r w:rsidR="0091738D">
              <w:rPr>
                <w:sz w:val="26"/>
                <w:szCs w:val="26"/>
                <w:lang w:val="en-US"/>
              </w:rPr>
              <w:t xml:space="preserve"> </w:t>
            </w:r>
            <w:proofErr w:type="spellStart"/>
            <w:r w:rsidR="0091738D">
              <w:rPr>
                <w:sz w:val="26"/>
                <w:szCs w:val="26"/>
                <w:lang w:val="en-US"/>
              </w:rPr>
              <w:t>văn</w:t>
            </w:r>
            <w:proofErr w:type="spellEnd"/>
            <w:r w:rsidR="0091738D">
              <w:rPr>
                <w:sz w:val="26"/>
                <w:szCs w:val="26"/>
                <w:lang w:val="en-US"/>
              </w:rPr>
              <w:t xml:space="preserve"> </w:t>
            </w:r>
            <w:proofErr w:type="spellStart"/>
            <w:r w:rsidR="0091738D">
              <w:rPr>
                <w:sz w:val="26"/>
                <w:szCs w:val="26"/>
                <w:lang w:val="en-US"/>
              </w:rPr>
              <w:t>số</w:t>
            </w:r>
            <w:proofErr w:type="spellEnd"/>
            <w:r w:rsidR="0091738D">
              <w:rPr>
                <w:sz w:val="26"/>
                <w:szCs w:val="26"/>
                <w:lang w:val="en-US"/>
              </w:rPr>
              <w:t xml:space="preserve"> 3059/BKHĐT-TCTT </w:t>
            </w:r>
            <w:proofErr w:type="spellStart"/>
            <w:r w:rsidR="0091738D">
              <w:rPr>
                <w:sz w:val="26"/>
                <w:szCs w:val="26"/>
                <w:lang w:val="en-US"/>
              </w:rPr>
              <w:t>ngày</w:t>
            </w:r>
            <w:proofErr w:type="spellEnd"/>
            <w:r w:rsidR="0091738D">
              <w:rPr>
                <w:sz w:val="26"/>
                <w:szCs w:val="26"/>
                <w:lang w:val="en-US"/>
              </w:rPr>
              <w:t xml:space="preserve"> 11/5/2022)</w:t>
            </w:r>
          </w:p>
        </w:tc>
        <w:tc>
          <w:tcPr>
            <w:tcW w:w="4395" w:type="dxa"/>
          </w:tcPr>
          <w:p w:rsidR="0091738D" w:rsidRPr="00405CC5" w:rsidRDefault="0091738D" w:rsidP="000D0966">
            <w:pPr>
              <w:widowControl w:val="0"/>
              <w:spacing w:beforeLines="40" w:afterLines="20"/>
              <w:jc w:val="both"/>
              <w:rPr>
                <w:sz w:val="26"/>
                <w:szCs w:val="26"/>
                <w:lang w:val="en-US"/>
              </w:rPr>
            </w:pPr>
            <w:proofErr w:type="spellStart"/>
            <w:r>
              <w:rPr>
                <w:sz w:val="26"/>
                <w:szCs w:val="26"/>
                <w:lang w:val="en-US"/>
              </w:rPr>
              <w:t>Đây</w:t>
            </w:r>
            <w:proofErr w:type="spellEnd"/>
            <w:r>
              <w:rPr>
                <w:sz w:val="26"/>
                <w:szCs w:val="26"/>
                <w:lang w:val="en-US"/>
              </w:rPr>
              <w:t xml:space="preserve"> </w:t>
            </w:r>
            <w:proofErr w:type="spellStart"/>
            <w:r>
              <w:rPr>
                <w:sz w:val="26"/>
                <w:szCs w:val="26"/>
                <w:lang w:val="en-US"/>
              </w:rPr>
              <w:t>là</w:t>
            </w:r>
            <w:proofErr w:type="spellEnd"/>
            <w:r>
              <w:rPr>
                <w:sz w:val="26"/>
                <w:szCs w:val="26"/>
                <w:lang w:val="en-US"/>
              </w:rPr>
              <w:t xml:space="preserve"> </w:t>
            </w:r>
            <w:proofErr w:type="spellStart"/>
            <w:r>
              <w:rPr>
                <w:sz w:val="26"/>
                <w:szCs w:val="26"/>
                <w:lang w:val="en-US"/>
              </w:rPr>
              <w:t>mặt</w:t>
            </w:r>
            <w:proofErr w:type="spellEnd"/>
            <w:r>
              <w:rPr>
                <w:sz w:val="26"/>
                <w:szCs w:val="26"/>
                <w:lang w:val="en-US"/>
              </w:rPr>
              <w:t xml:space="preserve"> </w:t>
            </w:r>
            <w:proofErr w:type="spellStart"/>
            <w:r>
              <w:rPr>
                <w:sz w:val="26"/>
                <w:szCs w:val="26"/>
                <w:lang w:val="en-US"/>
              </w:rPr>
              <w:t>hàng</w:t>
            </w:r>
            <w:proofErr w:type="spellEnd"/>
            <w:r>
              <w:rPr>
                <w:sz w:val="26"/>
                <w:szCs w:val="26"/>
                <w:lang w:val="en-US"/>
              </w:rPr>
              <w:t xml:space="preserve"> </w:t>
            </w:r>
            <w:proofErr w:type="spellStart"/>
            <w:r>
              <w:rPr>
                <w:sz w:val="26"/>
                <w:szCs w:val="26"/>
                <w:lang w:val="en-US"/>
              </w:rPr>
              <w:t>chiến</w:t>
            </w:r>
            <w:proofErr w:type="spellEnd"/>
            <w:r>
              <w:rPr>
                <w:sz w:val="26"/>
                <w:szCs w:val="26"/>
                <w:lang w:val="en-US"/>
              </w:rPr>
              <w:t xml:space="preserve"> </w:t>
            </w:r>
            <w:proofErr w:type="spellStart"/>
            <w:r>
              <w:rPr>
                <w:sz w:val="26"/>
                <w:szCs w:val="26"/>
                <w:lang w:val="en-US"/>
              </w:rPr>
              <w:t>lược</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w:t>
            </w:r>
            <w:proofErr w:type="spellStart"/>
            <w:r>
              <w:rPr>
                <w:sz w:val="26"/>
                <w:szCs w:val="26"/>
                <w:lang w:val="en-US"/>
              </w:rPr>
              <w:t>tác</w:t>
            </w:r>
            <w:proofErr w:type="spellEnd"/>
            <w:r>
              <w:rPr>
                <w:sz w:val="26"/>
                <w:szCs w:val="26"/>
                <w:lang w:val="en-US"/>
              </w:rPr>
              <w:t xml:space="preserve">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lớn</w:t>
            </w:r>
            <w:proofErr w:type="spellEnd"/>
            <w:r>
              <w:rPr>
                <w:sz w:val="26"/>
                <w:szCs w:val="26"/>
                <w:lang w:val="en-US"/>
              </w:rPr>
              <w:t xml:space="preserve"> </w:t>
            </w:r>
            <w:proofErr w:type="spellStart"/>
            <w:r>
              <w:rPr>
                <w:sz w:val="26"/>
                <w:szCs w:val="26"/>
                <w:lang w:val="en-US"/>
              </w:rPr>
              <w:t>đến</w:t>
            </w:r>
            <w:proofErr w:type="spellEnd"/>
            <w:r>
              <w:rPr>
                <w:sz w:val="26"/>
                <w:szCs w:val="26"/>
                <w:lang w:val="en-US"/>
              </w:rPr>
              <w:t xml:space="preserve"> </w:t>
            </w:r>
            <w:proofErr w:type="spellStart"/>
            <w:r>
              <w:rPr>
                <w:sz w:val="26"/>
                <w:szCs w:val="26"/>
                <w:lang w:val="en-US"/>
              </w:rPr>
              <w:t>nền</w:t>
            </w:r>
            <w:proofErr w:type="spellEnd"/>
            <w:r>
              <w:rPr>
                <w:sz w:val="26"/>
                <w:szCs w:val="26"/>
                <w:lang w:val="en-US"/>
              </w:rPr>
              <w:t xml:space="preserve"> </w:t>
            </w:r>
            <w:proofErr w:type="spellStart"/>
            <w:r>
              <w:rPr>
                <w:sz w:val="26"/>
                <w:szCs w:val="26"/>
                <w:lang w:val="en-US"/>
              </w:rPr>
              <w:t>kinh</w:t>
            </w:r>
            <w:proofErr w:type="spellEnd"/>
            <w:r>
              <w:rPr>
                <w:sz w:val="26"/>
                <w:szCs w:val="26"/>
                <w:lang w:val="en-US"/>
              </w:rPr>
              <w:t xml:space="preserve"> </w:t>
            </w:r>
            <w:proofErr w:type="spellStart"/>
            <w:r>
              <w:rPr>
                <w:sz w:val="26"/>
                <w:szCs w:val="26"/>
                <w:lang w:val="en-US"/>
              </w:rPr>
              <w:t>tế</w:t>
            </w:r>
            <w:proofErr w:type="spellEnd"/>
            <w:r>
              <w:rPr>
                <w:sz w:val="26"/>
                <w:szCs w:val="26"/>
                <w:lang w:val="en-US"/>
              </w:rPr>
              <w:t xml:space="preserve">, </w:t>
            </w:r>
            <w:proofErr w:type="spellStart"/>
            <w:r>
              <w:rPr>
                <w:sz w:val="26"/>
                <w:szCs w:val="26"/>
                <w:lang w:val="en-US"/>
              </w:rPr>
              <w:t>đặc</w:t>
            </w:r>
            <w:proofErr w:type="spellEnd"/>
            <w:r>
              <w:rPr>
                <w:sz w:val="26"/>
                <w:szCs w:val="26"/>
                <w:lang w:val="en-US"/>
              </w:rPr>
              <w:t xml:space="preserve"> </w:t>
            </w:r>
            <w:proofErr w:type="spellStart"/>
            <w:r>
              <w:rPr>
                <w:sz w:val="26"/>
                <w:szCs w:val="26"/>
                <w:lang w:val="en-US"/>
              </w:rPr>
              <w:t>biệt</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bối</w:t>
            </w:r>
            <w:proofErr w:type="spellEnd"/>
            <w:r>
              <w:rPr>
                <w:sz w:val="26"/>
                <w:szCs w:val="26"/>
                <w:lang w:val="en-US"/>
              </w:rPr>
              <w:t xml:space="preserve"> </w:t>
            </w:r>
            <w:proofErr w:type="spellStart"/>
            <w:r>
              <w:rPr>
                <w:sz w:val="26"/>
                <w:szCs w:val="26"/>
                <w:lang w:val="en-US"/>
              </w:rPr>
              <w:t>cảnh</w:t>
            </w:r>
            <w:proofErr w:type="spellEnd"/>
            <w:r>
              <w:rPr>
                <w:sz w:val="26"/>
                <w:szCs w:val="26"/>
                <w:lang w:val="en-US"/>
              </w:rPr>
              <w:t xml:space="preserve"> </w:t>
            </w:r>
            <w:proofErr w:type="spellStart"/>
            <w:r>
              <w:rPr>
                <w:sz w:val="26"/>
                <w:szCs w:val="26"/>
                <w:lang w:val="en-US"/>
              </w:rPr>
              <w:t>tình</w:t>
            </w:r>
            <w:proofErr w:type="spellEnd"/>
            <w:r>
              <w:rPr>
                <w:sz w:val="26"/>
                <w:szCs w:val="26"/>
                <w:lang w:val="en-US"/>
              </w:rPr>
              <w:t xml:space="preserve"> </w:t>
            </w:r>
            <w:proofErr w:type="spellStart"/>
            <w:r>
              <w:rPr>
                <w:sz w:val="26"/>
                <w:szCs w:val="26"/>
                <w:lang w:val="en-US"/>
              </w:rPr>
              <w:t>hình</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trường</w:t>
            </w:r>
            <w:proofErr w:type="spellEnd"/>
            <w:r>
              <w:rPr>
                <w:sz w:val="26"/>
                <w:szCs w:val="26"/>
                <w:lang w:val="en-US"/>
              </w:rPr>
              <w:t xml:space="preserve"> </w:t>
            </w:r>
            <w:proofErr w:type="spellStart"/>
            <w:r>
              <w:rPr>
                <w:sz w:val="26"/>
                <w:szCs w:val="26"/>
                <w:lang w:val="en-US"/>
              </w:rPr>
              <w:t>xăng</w:t>
            </w:r>
            <w:proofErr w:type="spellEnd"/>
            <w:r>
              <w:rPr>
                <w:sz w:val="26"/>
                <w:szCs w:val="26"/>
                <w:lang w:val="en-US"/>
              </w:rPr>
              <w:t xml:space="preserve">, </w:t>
            </w:r>
            <w:proofErr w:type="spellStart"/>
            <w:r>
              <w:rPr>
                <w:sz w:val="26"/>
                <w:szCs w:val="26"/>
                <w:lang w:val="en-US"/>
              </w:rPr>
              <w:t>dầu</w:t>
            </w:r>
            <w:proofErr w:type="spellEnd"/>
            <w:r>
              <w:rPr>
                <w:sz w:val="26"/>
                <w:szCs w:val="26"/>
                <w:lang w:val="en-US"/>
              </w:rPr>
              <w:t xml:space="preserve"> </w:t>
            </w:r>
            <w:proofErr w:type="spellStart"/>
            <w:r>
              <w:rPr>
                <w:sz w:val="26"/>
                <w:szCs w:val="26"/>
                <w:lang w:val="en-US"/>
              </w:rPr>
              <w:t>thế</w:t>
            </w:r>
            <w:proofErr w:type="spellEnd"/>
            <w:r>
              <w:rPr>
                <w:sz w:val="26"/>
                <w:szCs w:val="26"/>
                <w:lang w:val="en-US"/>
              </w:rPr>
              <w:t xml:space="preserve"> </w:t>
            </w:r>
            <w:proofErr w:type="spellStart"/>
            <w:r>
              <w:rPr>
                <w:sz w:val="26"/>
                <w:szCs w:val="26"/>
                <w:lang w:val="en-US"/>
              </w:rPr>
              <w:t>giới</w:t>
            </w:r>
            <w:proofErr w:type="spellEnd"/>
            <w:r>
              <w:rPr>
                <w:sz w:val="26"/>
                <w:szCs w:val="26"/>
                <w:lang w:val="en-US"/>
              </w:rPr>
              <w:t xml:space="preserve"> </w:t>
            </w:r>
            <w:proofErr w:type="spellStart"/>
            <w:r>
              <w:rPr>
                <w:sz w:val="26"/>
                <w:szCs w:val="26"/>
                <w:lang w:val="en-US"/>
              </w:rPr>
              <w:t>diễn</w:t>
            </w:r>
            <w:proofErr w:type="spellEnd"/>
            <w:r>
              <w:rPr>
                <w:sz w:val="26"/>
                <w:szCs w:val="26"/>
                <w:lang w:val="en-US"/>
              </w:rPr>
              <w:t xml:space="preserve"> </w:t>
            </w:r>
            <w:proofErr w:type="spellStart"/>
            <w:r>
              <w:rPr>
                <w:sz w:val="26"/>
                <w:szCs w:val="26"/>
                <w:lang w:val="en-US"/>
              </w:rPr>
              <w:t>biến</w:t>
            </w:r>
            <w:proofErr w:type="spellEnd"/>
            <w:r>
              <w:rPr>
                <w:sz w:val="26"/>
                <w:szCs w:val="26"/>
                <w:lang w:val="en-US"/>
              </w:rPr>
              <w:t xml:space="preserve"> </w:t>
            </w:r>
            <w:proofErr w:type="spellStart"/>
            <w:r>
              <w:rPr>
                <w:sz w:val="26"/>
                <w:szCs w:val="26"/>
                <w:lang w:val="en-US"/>
              </w:rPr>
              <w:t>phức</w:t>
            </w:r>
            <w:proofErr w:type="spellEnd"/>
            <w:r>
              <w:rPr>
                <w:sz w:val="26"/>
                <w:szCs w:val="26"/>
                <w:lang w:val="en-US"/>
              </w:rPr>
              <w:t xml:space="preserve"> </w:t>
            </w:r>
            <w:proofErr w:type="spellStart"/>
            <w:r>
              <w:rPr>
                <w:sz w:val="26"/>
                <w:szCs w:val="26"/>
                <w:lang w:val="en-US"/>
              </w:rPr>
              <w:t>tạp</w:t>
            </w:r>
            <w:proofErr w:type="spellEnd"/>
            <w:r>
              <w:rPr>
                <w:sz w:val="26"/>
                <w:szCs w:val="26"/>
                <w:lang w:val="en-US"/>
              </w:rPr>
              <w:t xml:space="preserve"> </w:t>
            </w:r>
            <w:proofErr w:type="spellStart"/>
            <w:r>
              <w:rPr>
                <w:sz w:val="26"/>
                <w:szCs w:val="26"/>
                <w:lang w:val="en-US"/>
              </w:rPr>
              <w:t>như</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nay. Do </w:t>
            </w:r>
            <w:proofErr w:type="spellStart"/>
            <w:r>
              <w:rPr>
                <w:sz w:val="26"/>
                <w:szCs w:val="26"/>
                <w:lang w:val="en-US"/>
              </w:rPr>
              <w:t>vậy</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nghị</w:t>
            </w:r>
            <w:proofErr w:type="spellEnd"/>
            <w:r>
              <w:rPr>
                <w:sz w:val="26"/>
                <w:szCs w:val="26"/>
                <w:lang w:val="en-US"/>
              </w:rPr>
              <w:t xml:space="preserve"> </w:t>
            </w:r>
            <w:proofErr w:type="spellStart"/>
            <w:r>
              <w:rPr>
                <w:sz w:val="26"/>
                <w:szCs w:val="26"/>
                <w:lang w:val="en-US"/>
              </w:rPr>
              <w:t>nghiên</w:t>
            </w:r>
            <w:proofErr w:type="spellEnd"/>
            <w:r>
              <w:rPr>
                <w:sz w:val="26"/>
                <w:szCs w:val="26"/>
                <w:lang w:val="en-US"/>
              </w:rPr>
              <w:t xml:space="preserve"> </w:t>
            </w:r>
            <w:proofErr w:type="spellStart"/>
            <w:r>
              <w:rPr>
                <w:sz w:val="26"/>
                <w:szCs w:val="26"/>
                <w:lang w:val="en-US"/>
              </w:rPr>
              <w:t>cứu</w:t>
            </w:r>
            <w:proofErr w:type="spellEnd"/>
            <w:r>
              <w:rPr>
                <w:sz w:val="26"/>
                <w:szCs w:val="26"/>
                <w:lang w:val="en-US"/>
              </w:rPr>
              <w:t xml:space="preserve"> </w:t>
            </w:r>
            <w:proofErr w:type="spellStart"/>
            <w:r>
              <w:rPr>
                <w:sz w:val="26"/>
                <w:szCs w:val="26"/>
                <w:lang w:val="en-US"/>
              </w:rPr>
              <w:t>đánh</w:t>
            </w:r>
            <w:proofErr w:type="spellEnd"/>
            <w:r>
              <w:rPr>
                <w:sz w:val="26"/>
                <w:szCs w:val="26"/>
                <w:lang w:val="en-US"/>
              </w:rPr>
              <w:t xml:space="preserve"> </w:t>
            </w:r>
            <w:proofErr w:type="spellStart"/>
            <w:r>
              <w:rPr>
                <w:sz w:val="26"/>
                <w:szCs w:val="26"/>
                <w:lang w:val="en-US"/>
              </w:rPr>
              <w:t>giá</w:t>
            </w:r>
            <w:proofErr w:type="spellEnd"/>
            <w:r>
              <w:rPr>
                <w:sz w:val="26"/>
                <w:szCs w:val="26"/>
                <w:lang w:val="en-US"/>
              </w:rPr>
              <w:t xml:space="preserve"> </w:t>
            </w:r>
            <w:proofErr w:type="spellStart"/>
            <w:r>
              <w:rPr>
                <w:sz w:val="26"/>
                <w:szCs w:val="26"/>
                <w:lang w:val="en-US"/>
              </w:rPr>
              <w:t>tình</w:t>
            </w:r>
            <w:proofErr w:type="spellEnd"/>
            <w:r>
              <w:rPr>
                <w:sz w:val="26"/>
                <w:szCs w:val="26"/>
                <w:lang w:val="en-US"/>
              </w:rPr>
              <w:t xml:space="preserve"> </w:t>
            </w:r>
            <w:proofErr w:type="spellStart"/>
            <w:r>
              <w:rPr>
                <w:sz w:val="26"/>
                <w:szCs w:val="26"/>
                <w:lang w:val="en-US"/>
              </w:rPr>
              <w:t>hình</w:t>
            </w:r>
            <w:proofErr w:type="spellEnd"/>
            <w:r>
              <w:rPr>
                <w:sz w:val="26"/>
                <w:szCs w:val="26"/>
                <w:lang w:val="en-US"/>
              </w:rPr>
              <w:t xml:space="preserve">, </w:t>
            </w:r>
            <w:proofErr w:type="spellStart"/>
            <w:r>
              <w:rPr>
                <w:sz w:val="26"/>
                <w:szCs w:val="26"/>
                <w:lang w:val="en-US"/>
              </w:rPr>
              <w:t>năng</w:t>
            </w:r>
            <w:proofErr w:type="spellEnd"/>
            <w:r>
              <w:rPr>
                <w:sz w:val="26"/>
                <w:szCs w:val="26"/>
                <w:lang w:val="en-US"/>
              </w:rPr>
              <w:t xml:space="preserve"> </w:t>
            </w:r>
            <w:proofErr w:type="spellStart"/>
            <w:r>
              <w:rPr>
                <w:sz w:val="26"/>
                <w:szCs w:val="26"/>
                <w:lang w:val="en-US"/>
              </w:rPr>
              <w:t>lực</w:t>
            </w:r>
            <w:proofErr w:type="spellEnd"/>
            <w:r>
              <w:rPr>
                <w:sz w:val="26"/>
                <w:szCs w:val="26"/>
                <w:lang w:val="en-US"/>
              </w:rPr>
              <w:t xml:space="preserve"> </w:t>
            </w:r>
            <w:proofErr w:type="spellStart"/>
            <w:r>
              <w:rPr>
                <w:sz w:val="26"/>
                <w:szCs w:val="26"/>
                <w:lang w:val="en-US"/>
              </w:rPr>
              <w:t>sản</w:t>
            </w:r>
            <w:proofErr w:type="spellEnd"/>
            <w:r>
              <w:rPr>
                <w:sz w:val="26"/>
                <w:szCs w:val="26"/>
                <w:lang w:val="en-US"/>
              </w:rPr>
              <w:t xml:space="preserve"> </w:t>
            </w:r>
            <w:proofErr w:type="spellStart"/>
            <w:r>
              <w:rPr>
                <w:sz w:val="26"/>
                <w:szCs w:val="26"/>
                <w:lang w:val="en-US"/>
              </w:rPr>
              <w:t>xuất</w:t>
            </w:r>
            <w:proofErr w:type="spellEnd"/>
            <w:r>
              <w:rPr>
                <w:sz w:val="26"/>
                <w:szCs w:val="26"/>
                <w:lang w:val="en-US"/>
              </w:rPr>
              <w:t xml:space="preserve"> </w:t>
            </w:r>
            <w:proofErr w:type="spellStart"/>
            <w:r>
              <w:rPr>
                <w:sz w:val="26"/>
                <w:szCs w:val="26"/>
                <w:lang w:val="en-US"/>
              </w:rPr>
              <w:t>xăng</w:t>
            </w:r>
            <w:proofErr w:type="spellEnd"/>
            <w:r>
              <w:rPr>
                <w:sz w:val="26"/>
                <w:szCs w:val="26"/>
                <w:lang w:val="en-US"/>
              </w:rPr>
              <w:t xml:space="preserve"> </w:t>
            </w:r>
            <w:proofErr w:type="spellStart"/>
            <w:r>
              <w:rPr>
                <w:sz w:val="26"/>
                <w:szCs w:val="26"/>
                <w:lang w:val="en-US"/>
              </w:rPr>
              <w:t>dầu</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nước</w:t>
            </w:r>
            <w:proofErr w:type="spellEnd"/>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đề</w:t>
            </w:r>
            <w:proofErr w:type="spellEnd"/>
            <w:r>
              <w:rPr>
                <w:sz w:val="26"/>
                <w:szCs w:val="26"/>
                <w:lang w:val="en-US"/>
              </w:rPr>
              <w:t xml:space="preserve"> </w:t>
            </w:r>
            <w:proofErr w:type="spellStart"/>
            <w:r>
              <w:rPr>
                <w:sz w:val="26"/>
                <w:szCs w:val="26"/>
                <w:lang w:val="en-US"/>
              </w:rPr>
              <w:t>xuất</w:t>
            </w:r>
            <w:proofErr w:type="spellEnd"/>
            <w:r>
              <w:rPr>
                <w:sz w:val="26"/>
                <w:szCs w:val="26"/>
                <w:lang w:val="en-US"/>
              </w:rPr>
              <w:t xml:space="preserve"> </w:t>
            </w:r>
            <w:proofErr w:type="spellStart"/>
            <w:r>
              <w:rPr>
                <w:sz w:val="26"/>
                <w:szCs w:val="26"/>
                <w:lang w:val="en-US"/>
              </w:rPr>
              <w:t>mức</w:t>
            </w:r>
            <w:proofErr w:type="spellEnd"/>
            <w:r>
              <w:rPr>
                <w:sz w:val="26"/>
                <w:szCs w:val="26"/>
                <w:lang w:val="en-US"/>
              </w:rPr>
              <w:t xml:space="preserve"> </w:t>
            </w:r>
            <w:proofErr w:type="spellStart"/>
            <w:r>
              <w:rPr>
                <w:sz w:val="26"/>
                <w:szCs w:val="26"/>
                <w:lang w:val="en-US"/>
              </w:rPr>
              <w:t>thuế</w:t>
            </w:r>
            <w:proofErr w:type="spellEnd"/>
            <w:r>
              <w:rPr>
                <w:sz w:val="26"/>
                <w:szCs w:val="26"/>
                <w:lang w:val="en-US"/>
              </w:rPr>
              <w:t xml:space="preserve"> </w:t>
            </w:r>
            <w:proofErr w:type="spellStart"/>
            <w:r>
              <w:rPr>
                <w:sz w:val="26"/>
                <w:szCs w:val="26"/>
                <w:lang w:val="en-US"/>
              </w:rPr>
              <w:t>mức</w:t>
            </w:r>
            <w:proofErr w:type="spellEnd"/>
            <w:r>
              <w:rPr>
                <w:sz w:val="26"/>
                <w:szCs w:val="26"/>
                <w:lang w:val="en-US"/>
              </w:rPr>
              <w:t xml:space="preserve"> </w:t>
            </w:r>
            <w:proofErr w:type="spellStart"/>
            <w:r>
              <w:rPr>
                <w:sz w:val="26"/>
                <w:szCs w:val="26"/>
                <w:lang w:val="en-US"/>
              </w:rPr>
              <w:t>thuế</w:t>
            </w:r>
            <w:proofErr w:type="spellEnd"/>
            <w:r>
              <w:rPr>
                <w:sz w:val="26"/>
                <w:szCs w:val="26"/>
                <w:lang w:val="en-US"/>
              </w:rPr>
              <w:t xml:space="preserve"> </w:t>
            </w:r>
            <w:proofErr w:type="spellStart"/>
            <w:r>
              <w:rPr>
                <w:sz w:val="26"/>
                <w:szCs w:val="26"/>
                <w:lang w:val="en-US"/>
              </w:rPr>
              <w:t>suất</w:t>
            </w:r>
            <w:proofErr w:type="spellEnd"/>
            <w:r>
              <w:rPr>
                <w:sz w:val="26"/>
                <w:szCs w:val="26"/>
                <w:lang w:val="en-US"/>
              </w:rPr>
              <w:t xml:space="preserve"> </w:t>
            </w:r>
            <w:proofErr w:type="spellStart"/>
            <w:r>
              <w:rPr>
                <w:sz w:val="26"/>
                <w:szCs w:val="26"/>
                <w:lang w:val="en-US"/>
              </w:rPr>
              <w:t>thuế</w:t>
            </w:r>
            <w:proofErr w:type="spellEnd"/>
            <w:r>
              <w:rPr>
                <w:sz w:val="26"/>
                <w:szCs w:val="26"/>
                <w:lang w:val="en-US"/>
              </w:rPr>
              <w:t xml:space="preserve"> </w:t>
            </w:r>
            <w:proofErr w:type="spellStart"/>
            <w:r>
              <w:rPr>
                <w:sz w:val="26"/>
                <w:szCs w:val="26"/>
                <w:lang w:val="en-US"/>
              </w:rPr>
              <w:t>nhập</w:t>
            </w:r>
            <w:proofErr w:type="spellEnd"/>
            <w:r>
              <w:rPr>
                <w:sz w:val="26"/>
                <w:szCs w:val="26"/>
                <w:lang w:val="en-US"/>
              </w:rPr>
              <w:t xml:space="preserve"> </w:t>
            </w:r>
            <w:proofErr w:type="spellStart"/>
            <w:r>
              <w:rPr>
                <w:sz w:val="26"/>
                <w:szCs w:val="26"/>
                <w:lang w:val="en-US"/>
              </w:rPr>
              <w:t>khẩu</w:t>
            </w:r>
            <w:proofErr w:type="spellEnd"/>
            <w:r>
              <w:rPr>
                <w:sz w:val="26"/>
                <w:szCs w:val="26"/>
                <w:lang w:val="en-US"/>
              </w:rPr>
              <w:t xml:space="preserve"> </w:t>
            </w:r>
            <w:proofErr w:type="spellStart"/>
            <w:r>
              <w:rPr>
                <w:sz w:val="26"/>
                <w:szCs w:val="26"/>
                <w:lang w:val="en-US"/>
              </w:rPr>
              <w:t>mặt</w:t>
            </w:r>
            <w:proofErr w:type="spellEnd"/>
            <w:r>
              <w:rPr>
                <w:sz w:val="26"/>
                <w:szCs w:val="26"/>
                <w:lang w:val="en-US"/>
              </w:rPr>
              <w:t xml:space="preserve"> </w:t>
            </w:r>
            <w:proofErr w:type="spellStart"/>
            <w:r>
              <w:rPr>
                <w:sz w:val="26"/>
                <w:szCs w:val="26"/>
                <w:lang w:val="en-US"/>
              </w:rPr>
              <w:t>hàng</w:t>
            </w:r>
            <w:proofErr w:type="spellEnd"/>
            <w:r>
              <w:rPr>
                <w:sz w:val="26"/>
                <w:szCs w:val="26"/>
                <w:lang w:val="en-US"/>
              </w:rPr>
              <w:t xml:space="preserve"> </w:t>
            </w:r>
            <w:proofErr w:type="spellStart"/>
            <w:r>
              <w:rPr>
                <w:sz w:val="26"/>
                <w:szCs w:val="26"/>
                <w:lang w:val="en-US"/>
              </w:rPr>
              <w:t>này</w:t>
            </w:r>
            <w:proofErr w:type="spellEnd"/>
            <w:r>
              <w:rPr>
                <w:sz w:val="26"/>
                <w:szCs w:val="26"/>
                <w:lang w:val="en-US"/>
              </w:rPr>
              <w:t xml:space="preserve">, </w:t>
            </w:r>
            <w:proofErr w:type="spellStart"/>
            <w:r>
              <w:rPr>
                <w:sz w:val="26"/>
                <w:szCs w:val="26"/>
                <w:lang w:val="en-US"/>
              </w:rPr>
              <w:t>đảm</w:t>
            </w:r>
            <w:proofErr w:type="spellEnd"/>
            <w:r>
              <w:rPr>
                <w:sz w:val="26"/>
                <w:szCs w:val="26"/>
                <w:lang w:val="en-US"/>
              </w:rPr>
              <w:t xml:space="preserve"> </w:t>
            </w:r>
            <w:proofErr w:type="spellStart"/>
            <w:r>
              <w:rPr>
                <w:sz w:val="26"/>
                <w:szCs w:val="26"/>
                <w:lang w:val="en-US"/>
              </w:rPr>
              <w:t>bảo</w:t>
            </w:r>
            <w:proofErr w:type="spellEnd"/>
            <w:r>
              <w:rPr>
                <w:sz w:val="26"/>
                <w:szCs w:val="26"/>
                <w:lang w:val="en-US"/>
              </w:rPr>
              <w:t xml:space="preserve"> </w:t>
            </w:r>
            <w:proofErr w:type="spellStart"/>
            <w:r>
              <w:rPr>
                <w:sz w:val="26"/>
                <w:szCs w:val="26"/>
                <w:lang w:val="en-US"/>
              </w:rPr>
              <w:t>nguồn</w:t>
            </w:r>
            <w:proofErr w:type="spellEnd"/>
            <w:r>
              <w:rPr>
                <w:sz w:val="26"/>
                <w:szCs w:val="26"/>
                <w:lang w:val="en-US"/>
              </w:rPr>
              <w:t xml:space="preserve"> </w:t>
            </w:r>
            <w:proofErr w:type="spellStart"/>
            <w:r>
              <w:rPr>
                <w:sz w:val="26"/>
                <w:szCs w:val="26"/>
                <w:lang w:val="en-US"/>
              </w:rPr>
              <w:t>cung</w:t>
            </w:r>
            <w:proofErr w:type="spellEnd"/>
            <w:r>
              <w:rPr>
                <w:sz w:val="26"/>
                <w:szCs w:val="26"/>
                <w:lang w:val="en-US"/>
              </w:rPr>
              <w:t xml:space="preserve"> </w:t>
            </w:r>
            <w:proofErr w:type="spellStart"/>
            <w:r>
              <w:rPr>
                <w:sz w:val="26"/>
                <w:szCs w:val="26"/>
                <w:lang w:val="en-US"/>
              </w:rPr>
              <w:t>xăng</w:t>
            </w:r>
            <w:proofErr w:type="spellEnd"/>
            <w:r>
              <w:rPr>
                <w:sz w:val="26"/>
                <w:szCs w:val="26"/>
                <w:lang w:val="en-US"/>
              </w:rPr>
              <w:t xml:space="preserve"> </w:t>
            </w:r>
            <w:proofErr w:type="spellStart"/>
            <w:r>
              <w:rPr>
                <w:sz w:val="26"/>
                <w:szCs w:val="26"/>
                <w:lang w:val="en-US"/>
              </w:rPr>
              <w:t>dầu</w:t>
            </w:r>
            <w:proofErr w:type="spellEnd"/>
            <w:r>
              <w:rPr>
                <w:sz w:val="26"/>
                <w:szCs w:val="26"/>
                <w:lang w:val="en-US"/>
              </w:rPr>
              <w:t xml:space="preserve"> </w:t>
            </w:r>
            <w:proofErr w:type="spellStart"/>
            <w:r>
              <w:rPr>
                <w:sz w:val="26"/>
                <w:szCs w:val="26"/>
                <w:lang w:val="en-US"/>
              </w:rPr>
              <w:t>phục</w:t>
            </w:r>
            <w:proofErr w:type="spellEnd"/>
            <w:r>
              <w:rPr>
                <w:sz w:val="26"/>
                <w:szCs w:val="26"/>
                <w:lang w:val="en-US"/>
              </w:rPr>
              <w:t xml:space="preserve"> </w:t>
            </w:r>
            <w:proofErr w:type="spellStart"/>
            <w:r>
              <w:rPr>
                <w:sz w:val="26"/>
                <w:szCs w:val="26"/>
                <w:lang w:val="en-US"/>
              </w:rPr>
              <w:t>vụ</w:t>
            </w:r>
            <w:proofErr w:type="spellEnd"/>
            <w:r>
              <w:rPr>
                <w:sz w:val="26"/>
                <w:szCs w:val="26"/>
                <w:lang w:val="en-US"/>
              </w:rPr>
              <w:t xml:space="preserve"> </w:t>
            </w:r>
            <w:proofErr w:type="spellStart"/>
            <w:r>
              <w:rPr>
                <w:sz w:val="26"/>
                <w:szCs w:val="26"/>
                <w:lang w:val="en-US"/>
              </w:rPr>
              <w:t>nhu</w:t>
            </w:r>
            <w:proofErr w:type="spellEnd"/>
            <w:r>
              <w:rPr>
                <w:sz w:val="26"/>
                <w:szCs w:val="26"/>
                <w:lang w:val="en-US"/>
              </w:rPr>
              <w:t xml:space="preserve"> </w:t>
            </w:r>
            <w:proofErr w:type="spellStart"/>
            <w:r>
              <w:rPr>
                <w:sz w:val="26"/>
                <w:szCs w:val="26"/>
                <w:lang w:val="en-US"/>
              </w:rPr>
              <w:t>cầu</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nước</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gramStart"/>
            <w:r>
              <w:rPr>
                <w:sz w:val="26"/>
                <w:szCs w:val="26"/>
                <w:lang w:val="en-US"/>
              </w:rPr>
              <w:t>an</w:t>
            </w:r>
            <w:proofErr w:type="gramEnd"/>
            <w:r>
              <w:rPr>
                <w:sz w:val="26"/>
                <w:szCs w:val="26"/>
                <w:lang w:val="en-US"/>
              </w:rPr>
              <w:t xml:space="preserve"> </w:t>
            </w:r>
            <w:proofErr w:type="spellStart"/>
            <w:r>
              <w:rPr>
                <w:sz w:val="26"/>
                <w:szCs w:val="26"/>
                <w:lang w:val="en-US"/>
              </w:rPr>
              <w:t>ninh</w:t>
            </w:r>
            <w:proofErr w:type="spellEnd"/>
            <w:r>
              <w:rPr>
                <w:sz w:val="26"/>
                <w:szCs w:val="26"/>
                <w:lang w:val="en-US"/>
              </w:rPr>
              <w:t xml:space="preserve"> </w:t>
            </w:r>
            <w:proofErr w:type="spellStart"/>
            <w:r>
              <w:rPr>
                <w:sz w:val="26"/>
                <w:szCs w:val="26"/>
                <w:lang w:val="en-US"/>
              </w:rPr>
              <w:t>năng</w:t>
            </w:r>
            <w:proofErr w:type="spellEnd"/>
            <w:r>
              <w:rPr>
                <w:sz w:val="26"/>
                <w:szCs w:val="26"/>
                <w:lang w:val="en-US"/>
              </w:rPr>
              <w:t xml:space="preserve"> </w:t>
            </w:r>
            <w:proofErr w:type="spellStart"/>
            <w:r>
              <w:rPr>
                <w:sz w:val="26"/>
                <w:szCs w:val="26"/>
                <w:lang w:val="en-US"/>
              </w:rPr>
              <w:t>lượng</w:t>
            </w:r>
            <w:proofErr w:type="spellEnd"/>
            <w:r>
              <w:rPr>
                <w:sz w:val="26"/>
                <w:szCs w:val="26"/>
                <w:lang w:val="en-US"/>
              </w:rPr>
              <w:t xml:space="preserve"> </w:t>
            </w:r>
            <w:proofErr w:type="spellStart"/>
            <w:r>
              <w:rPr>
                <w:sz w:val="26"/>
                <w:szCs w:val="26"/>
                <w:lang w:val="en-US"/>
              </w:rPr>
              <w:t>quốc</w:t>
            </w:r>
            <w:proofErr w:type="spellEnd"/>
            <w:r>
              <w:rPr>
                <w:sz w:val="26"/>
                <w:szCs w:val="26"/>
                <w:lang w:val="en-US"/>
              </w:rPr>
              <w:t xml:space="preserve"> </w:t>
            </w:r>
            <w:proofErr w:type="spellStart"/>
            <w:r>
              <w:rPr>
                <w:sz w:val="26"/>
                <w:szCs w:val="26"/>
                <w:lang w:val="en-US"/>
              </w:rPr>
              <w:t>gia</w:t>
            </w:r>
            <w:proofErr w:type="spellEnd"/>
            <w:r>
              <w:rPr>
                <w:sz w:val="26"/>
                <w:szCs w:val="26"/>
                <w:lang w:val="en-US"/>
              </w:rPr>
              <w:t>.</w:t>
            </w:r>
          </w:p>
        </w:tc>
        <w:tc>
          <w:tcPr>
            <w:tcW w:w="5103" w:type="dxa"/>
          </w:tcPr>
          <w:p w:rsidR="0091738D" w:rsidRPr="00687FFB" w:rsidRDefault="0091738D" w:rsidP="000D0966">
            <w:pPr>
              <w:widowControl w:val="0"/>
              <w:spacing w:beforeLines="40" w:afterLines="20"/>
              <w:jc w:val="both"/>
              <w:rPr>
                <w:sz w:val="26"/>
                <w:szCs w:val="26"/>
                <w:lang w:val="en-US"/>
              </w:rPr>
            </w:pPr>
            <w:proofErr w:type="spellStart"/>
            <w:r>
              <w:rPr>
                <w:sz w:val="26"/>
                <w:szCs w:val="26"/>
                <w:lang w:val="en-US"/>
              </w:rPr>
              <w:t>Bộ</w:t>
            </w:r>
            <w:proofErr w:type="spellEnd"/>
            <w:r>
              <w:rPr>
                <w:sz w:val="26"/>
                <w:szCs w:val="26"/>
                <w:lang w:val="en-US"/>
              </w:rPr>
              <w:t xml:space="preserve"> </w:t>
            </w:r>
            <w:proofErr w:type="spellStart"/>
            <w:r>
              <w:rPr>
                <w:sz w:val="26"/>
                <w:szCs w:val="26"/>
                <w:lang w:val="en-US"/>
              </w:rPr>
              <w:t>Tài</w:t>
            </w:r>
            <w:proofErr w:type="spellEnd"/>
            <w:r>
              <w:rPr>
                <w:sz w:val="26"/>
                <w:szCs w:val="26"/>
                <w:lang w:val="en-US"/>
              </w:rPr>
              <w:t xml:space="preserve"> </w:t>
            </w:r>
            <w:proofErr w:type="spellStart"/>
            <w:r>
              <w:rPr>
                <w:sz w:val="26"/>
                <w:szCs w:val="26"/>
                <w:lang w:val="en-US"/>
              </w:rPr>
              <w:t>chính</w:t>
            </w:r>
            <w:proofErr w:type="spellEnd"/>
            <w:r>
              <w:rPr>
                <w:sz w:val="26"/>
                <w:szCs w:val="26"/>
                <w:lang w:val="en-US"/>
              </w:rPr>
              <w:t xml:space="preserve"> </w:t>
            </w:r>
            <w:proofErr w:type="spellStart"/>
            <w:r>
              <w:rPr>
                <w:sz w:val="26"/>
                <w:szCs w:val="26"/>
                <w:lang w:val="en-US"/>
              </w:rPr>
              <w:t>tiếp</w:t>
            </w:r>
            <w:proofErr w:type="spellEnd"/>
            <w:r>
              <w:rPr>
                <w:sz w:val="26"/>
                <w:szCs w:val="26"/>
                <w:lang w:val="en-US"/>
              </w:rPr>
              <w:t xml:space="preserve"> </w:t>
            </w:r>
            <w:proofErr w:type="spellStart"/>
            <w:r>
              <w:rPr>
                <w:sz w:val="26"/>
                <w:szCs w:val="26"/>
                <w:lang w:val="en-US"/>
              </w:rPr>
              <w:t>thu</w:t>
            </w:r>
            <w:proofErr w:type="spellEnd"/>
            <w:r>
              <w:rPr>
                <w:sz w:val="26"/>
                <w:szCs w:val="26"/>
                <w:lang w:val="en-US"/>
              </w:rPr>
              <w:t xml:space="preserve"> ý </w:t>
            </w:r>
            <w:proofErr w:type="spellStart"/>
            <w:r>
              <w:rPr>
                <w:sz w:val="26"/>
                <w:szCs w:val="26"/>
                <w:lang w:val="en-US"/>
              </w:rPr>
              <w:t>kiến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Bộ</w:t>
            </w:r>
            <w:proofErr w:type="spellEnd"/>
            <w:r>
              <w:rPr>
                <w:sz w:val="26"/>
                <w:szCs w:val="26"/>
                <w:lang w:val="en-US"/>
              </w:rPr>
              <w:t xml:space="preserve"> </w:t>
            </w:r>
            <w:proofErr w:type="spellStart"/>
            <w:r>
              <w:rPr>
                <w:sz w:val="26"/>
                <w:szCs w:val="26"/>
                <w:lang w:val="en-US"/>
              </w:rPr>
              <w:t>Kế</w:t>
            </w:r>
            <w:proofErr w:type="spellEnd"/>
            <w:r>
              <w:rPr>
                <w:sz w:val="26"/>
                <w:szCs w:val="26"/>
                <w:lang w:val="en-US"/>
              </w:rPr>
              <w:t xml:space="preserve"> </w:t>
            </w:r>
            <w:proofErr w:type="spellStart"/>
            <w:r>
              <w:rPr>
                <w:sz w:val="26"/>
                <w:szCs w:val="26"/>
                <w:lang w:val="en-US"/>
              </w:rPr>
              <w:t>hoạch</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Đầu</w:t>
            </w:r>
            <w:proofErr w:type="spellEnd"/>
            <w:r>
              <w:rPr>
                <w:sz w:val="26"/>
                <w:szCs w:val="26"/>
                <w:lang w:val="en-US"/>
              </w:rPr>
              <w:t xml:space="preserve"> </w:t>
            </w:r>
            <w:proofErr w:type="spellStart"/>
            <w:r>
              <w:rPr>
                <w:sz w:val="26"/>
                <w:szCs w:val="26"/>
                <w:lang w:val="en-US"/>
              </w:rPr>
              <w:t>tư</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sidR="00C3483A">
              <w:rPr>
                <w:sz w:val="26"/>
                <w:szCs w:val="26"/>
                <w:lang w:val="en-US"/>
              </w:rPr>
              <w:t>đã</w:t>
            </w:r>
            <w:proofErr w:type="spellEnd"/>
            <w:r w:rsidR="00C3483A">
              <w:rPr>
                <w:sz w:val="26"/>
                <w:szCs w:val="26"/>
                <w:lang w:val="en-US"/>
              </w:rPr>
              <w:t xml:space="preserve"> </w:t>
            </w:r>
            <w:proofErr w:type="spellStart"/>
            <w:r w:rsidR="00C3483A">
              <w:rPr>
                <w:sz w:val="26"/>
                <w:szCs w:val="26"/>
                <w:lang w:val="en-US"/>
              </w:rPr>
              <w:t>bổ</w:t>
            </w:r>
            <w:proofErr w:type="spellEnd"/>
            <w:r w:rsidR="00C3483A">
              <w:rPr>
                <w:sz w:val="26"/>
                <w:szCs w:val="26"/>
                <w:lang w:val="en-US"/>
              </w:rPr>
              <w:t xml:space="preserve"> sung, </w:t>
            </w:r>
            <w:proofErr w:type="spellStart"/>
            <w:r w:rsidR="00C3483A">
              <w:rPr>
                <w:sz w:val="26"/>
                <w:szCs w:val="26"/>
                <w:lang w:val="en-US"/>
              </w:rPr>
              <w:t>hoàn</w:t>
            </w:r>
            <w:proofErr w:type="spellEnd"/>
            <w:r w:rsidR="00C3483A">
              <w:rPr>
                <w:sz w:val="26"/>
                <w:szCs w:val="26"/>
                <w:lang w:val="en-US"/>
              </w:rPr>
              <w:t xml:space="preserve"> </w:t>
            </w:r>
            <w:proofErr w:type="spellStart"/>
            <w:r w:rsidR="00C3483A">
              <w:rPr>
                <w:sz w:val="26"/>
                <w:szCs w:val="26"/>
                <w:lang w:val="en-US"/>
              </w:rPr>
              <w:t>thiện</w:t>
            </w:r>
            <w:proofErr w:type="spellEnd"/>
            <w:r w:rsidR="00C3483A">
              <w:rPr>
                <w:sz w:val="26"/>
                <w:szCs w:val="26"/>
                <w:lang w:val="en-US"/>
              </w:rPr>
              <w:t xml:space="preserve"> </w:t>
            </w:r>
            <w:proofErr w:type="spellStart"/>
            <w:r w:rsidR="00C3483A">
              <w:rPr>
                <w:sz w:val="26"/>
                <w:szCs w:val="26"/>
                <w:lang w:val="en-US"/>
              </w:rPr>
              <w:t>lại</w:t>
            </w:r>
            <w:proofErr w:type="spellEnd"/>
            <w:r w:rsidR="005C6849">
              <w:rPr>
                <w:sz w:val="26"/>
                <w:szCs w:val="26"/>
                <w:lang w:val="en-US"/>
              </w:rPr>
              <w:t xml:space="preserve"> </w:t>
            </w:r>
            <w:proofErr w:type="spellStart"/>
            <w:r w:rsidR="005C6849">
              <w:rPr>
                <w:sz w:val="26"/>
                <w:szCs w:val="26"/>
                <w:lang w:val="en-US"/>
              </w:rPr>
              <w:t>Tờ</w:t>
            </w:r>
            <w:proofErr w:type="spellEnd"/>
            <w:r w:rsidR="005C6849">
              <w:rPr>
                <w:sz w:val="26"/>
                <w:szCs w:val="26"/>
                <w:lang w:val="en-US"/>
              </w:rPr>
              <w:t xml:space="preserve"> </w:t>
            </w:r>
            <w:proofErr w:type="spellStart"/>
            <w:r w:rsidR="005C6849">
              <w:rPr>
                <w:sz w:val="26"/>
                <w:szCs w:val="26"/>
                <w:lang w:val="en-US"/>
              </w:rPr>
              <w:t>trình</w:t>
            </w:r>
            <w:proofErr w:type="spellEnd"/>
            <w:r w:rsidR="005C6849">
              <w:rPr>
                <w:sz w:val="26"/>
                <w:szCs w:val="26"/>
                <w:lang w:val="en-US"/>
              </w:rPr>
              <w:t xml:space="preserve"> </w:t>
            </w:r>
            <w:proofErr w:type="spellStart"/>
            <w:r w:rsidR="005C6849">
              <w:rPr>
                <w:sz w:val="26"/>
                <w:szCs w:val="26"/>
                <w:lang w:val="en-US"/>
              </w:rPr>
              <w:t>Chính</w:t>
            </w:r>
            <w:proofErr w:type="spellEnd"/>
            <w:r w:rsidR="005C6849">
              <w:rPr>
                <w:sz w:val="26"/>
                <w:szCs w:val="26"/>
                <w:lang w:val="en-US"/>
              </w:rPr>
              <w:t xml:space="preserve"> </w:t>
            </w:r>
            <w:proofErr w:type="spellStart"/>
            <w:r w:rsidR="005C6849">
              <w:rPr>
                <w:sz w:val="26"/>
                <w:szCs w:val="26"/>
                <w:lang w:val="en-US"/>
              </w:rPr>
              <w:t>phủ</w:t>
            </w:r>
            <w:proofErr w:type="spellEnd"/>
            <w:r w:rsidR="00C3483A">
              <w:rPr>
                <w:sz w:val="26"/>
                <w:szCs w:val="26"/>
                <w:lang w:val="en-US"/>
              </w:rPr>
              <w:t xml:space="preserve">, </w:t>
            </w:r>
            <w:proofErr w:type="spellStart"/>
            <w:r w:rsidR="00C3483A">
              <w:rPr>
                <w:sz w:val="26"/>
                <w:szCs w:val="26"/>
                <w:lang w:val="en-US"/>
              </w:rPr>
              <w:t>trong</w:t>
            </w:r>
            <w:proofErr w:type="spellEnd"/>
            <w:r w:rsidR="00C3483A">
              <w:rPr>
                <w:sz w:val="26"/>
                <w:szCs w:val="26"/>
                <w:lang w:val="en-US"/>
              </w:rPr>
              <w:t xml:space="preserve"> </w:t>
            </w:r>
            <w:proofErr w:type="spellStart"/>
            <w:r w:rsidR="00C3483A">
              <w:rPr>
                <w:sz w:val="26"/>
                <w:szCs w:val="26"/>
                <w:lang w:val="en-US"/>
              </w:rPr>
              <w:t>đó</w:t>
            </w:r>
            <w:proofErr w:type="spellEnd"/>
            <w:r w:rsidR="00C3483A">
              <w:rPr>
                <w:sz w:val="26"/>
                <w:szCs w:val="26"/>
                <w:lang w:val="en-US"/>
              </w:rPr>
              <w:t xml:space="preserve"> </w:t>
            </w:r>
            <w:proofErr w:type="spellStart"/>
            <w:r w:rsidR="00C3483A">
              <w:rPr>
                <w:sz w:val="26"/>
                <w:szCs w:val="26"/>
                <w:lang w:val="en-US"/>
              </w:rPr>
              <w:t>đã</w:t>
            </w:r>
            <w:proofErr w:type="spellEnd"/>
            <w:r w:rsidR="00C3483A">
              <w:rPr>
                <w:sz w:val="26"/>
                <w:szCs w:val="26"/>
                <w:lang w:val="en-US"/>
              </w:rPr>
              <w:t xml:space="preserve"> </w:t>
            </w:r>
            <w:proofErr w:type="spellStart"/>
            <w:r w:rsidR="00C3483A">
              <w:rPr>
                <w:sz w:val="26"/>
                <w:szCs w:val="26"/>
                <w:lang w:val="en-US"/>
              </w:rPr>
              <w:t>đánh</w:t>
            </w:r>
            <w:proofErr w:type="spellEnd"/>
            <w:r w:rsidR="00C3483A">
              <w:rPr>
                <w:sz w:val="26"/>
                <w:szCs w:val="26"/>
                <w:lang w:val="en-US"/>
              </w:rPr>
              <w:t xml:space="preserve"> </w:t>
            </w:r>
            <w:proofErr w:type="spellStart"/>
            <w:r w:rsidR="00C3483A">
              <w:rPr>
                <w:sz w:val="26"/>
                <w:szCs w:val="26"/>
                <w:lang w:val="en-US"/>
              </w:rPr>
              <w:t>giá</w:t>
            </w:r>
            <w:proofErr w:type="spellEnd"/>
            <w:r w:rsidR="00C3483A">
              <w:rPr>
                <w:sz w:val="26"/>
                <w:szCs w:val="26"/>
                <w:lang w:val="en-US"/>
              </w:rPr>
              <w:t xml:space="preserve"> </w:t>
            </w:r>
            <w:proofErr w:type="spellStart"/>
            <w:r w:rsidR="00C3483A">
              <w:rPr>
                <w:sz w:val="26"/>
                <w:szCs w:val="26"/>
                <w:lang w:val="en-US"/>
              </w:rPr>
              <w:t>tình</w:t>
            </w:r>
            <w:proofErr w:type="spellEnd"/>
            <w:r w:rsidR="00C3483A">
              <w:rPr>
                <w:sz w:val="26"/>
                <w:szCs w:val="26"/>
                <w:lang w:val="en-US"/>
              </w:rPr>
              <w:t xml:space="preserve"> </w:t>
            </w:r>
            <w:proofErr w:type="spellStart"/>
            <w:r w:rsidR="00C3483A">
              <w:rPr>
                <w:sz w:val="26"/>
                <w:szCs w:val="26"/>
                <w:lang w:val="en-US"/>
              </w:rPr>
              <w:t>hình</w:t>
            </w:r>
            <w:proofErr w:type="spellEnd"/>
            <w:r w:rsidR="00C3483A">
              <w:rPr>
                <w:sz w:val="26"/>
                <w:szCs w:val="26"/>
                <w:lang w:val="en-US"/>
              </w:rPr>
              <w:t xml:space="preserve">, </w:t>
            </w:r>
            <w:proofErr w:type="spellStart"/>
            <w:r w:rsidR="00C3483A">
              <w:rPr>
                <w:sz w:val="26"/>
                <w:szCs w:val="26"/>
                <w:lang w:val="en-US"/>
              </w:rPr>
              <w:t>năng</w:t>
            </w:r>
            <w:proofErr w:type="spellEnd"/>
            <w:r w:rsidR="00C3483A">
              <w:rPr>
                <w:sz w:val="26"/>
                <w:szCs w:val="26"/>
                <w:lang w:val="en-US"/>
              </w:rPr>
              <w:t xml:space="preserve"> </w:t>
            </w:r>
            <w:proofErr w:type="spellStart"/>
            <w:r w:rsidR="00C3483A">
              <w:rPr>
                <w:sz w:val="26"/>
                <w:szCs w:val="26"/>
                <w:lang w:val="en-US"/>
              </w:rPr>
              <w:t>lực</w:t>
            </w:r>
            <w:proofErr w:type="spellEnd"/>
            <w:r w:rsidR="00C3483A">
              <w:rPr>
                <w:sz w:val="26"/>
                <w:szCs w:val="26"/>
                <w:lang w:val="en-US"/>
              </w:rPr>
              <w:t xml:space="preserve"> </w:t>
            </w:r>
            <w:proofErr w:type="spellStart"/>
            <w:r w:rsidR="00C3483A">
              <w:rPr>
                <w:sz w:val="26"/>
                <w:szCs w:val="26"/>
                <w:lang w:val="en-US"/>
              </w:rPr>
              <w:t>sản</w:t>
            </w:r>
            <w:proofErr w:type="spellEnd"/>
            <w:r w:rsidR="00C3483A">
              <w:rPr>
                <w:sz w:val="26"/>
                <w:szCs w:val="26"/>
                <w:lang w:val="en-US"/>
              </w:rPr>
              <w:t xml:space="preserve"> </w:t>
            </w:r>
            <w:proofErr w:type="spellStart"/>
            <w:r w:rsidR="00C3483A">
              <w:rPr>
                <w:sz w:val="26"/>
                <w:szCs w:val="26"/>
                <w:lang w:val="en-US"/>
              </w:rPr>
              <w:t>xuất</w:t>
            </w:r>
            <w:proofErr w:type="spellEnd"/>
            <w:r w:rsidR="00C3483A">
              <w:rPr>
                <w:sz w:val="26"/>
                <w:szCs w:val="26"/>
                <w:lang w:val="en-US"/>
              </w:rPr>
              <w:t xml:space="preserve"> </w:t>
            </w:r>
            <w:proofErr w:type="spellStart"/>
            <w:r w:rsidR="00C3483A">
              <w:rPr>
                <w:sz w:val="26"/>
                <w:szCs w:val="26"/>
                <w:lang w:val="en-US"/>
              </w:rPr>
              <w:t>xăng</w:t>
            </w:r>
            <w:proofErr w:type="spellEnd"/>
            <w:r w:rsidR="00C3483A">
              <w:rPr>
                <w:sz w:val="26"/>
                <w:szCs w:val="26"/>
                <w:lang w:val="en-US"/>
              </w:rPr>
              <w:t xml:space="preserve"> </w:t>
            </w:r>
            <w:proofErr w:type="spellStart"/>
            <w:r w:rsidR="00C3483A">
              <w:rPr>
                <w:sz w:val="26"/>
                <w:szCs w:val="26"/>
                <w:lang w:val="en-US"/>
              </w:rPr>
              <w:t>dầu</w:t>
            </w:r>
            <w:proofErr w:type="spellEnd"/>
            <w:r w:rsidR="00C3483A">
              <w:rPr>
                <w:sz w:val="26"/>
                <w:szCs w:val="26"/>
                <w:lang w:val="en-US"/>
              </w:rPr>
              <w:t xml:space="preserve"> </w:t>
            </w:r>
            <w:proofErr w:type="spellStart"/>
            <w:r w:rsidR="00C3483A">
              <w:rPr>
                <w:sz w:val="26"/>
                <w:szCs w:val="26"/>
                <w:lang w:val="en-US"/>
              </w:rPr>
              <w:t>trong</w:t>
            </w:r>
            <w:proofErr w:type="spellEnd"/>
            <w:r w:rsidR="00C3483A">
              <w:rPr>
                <w:sz w:val="26"/>
                <w:szCs w:val="26"/>
                <w:lang w:val="en-US"/>
              </w:rPr>
              <w:t xml:space="preserve"> </w:t>
            </w:r>
            <w:proofErr w:type="spellStart"/>
            <w:r w:rsidR="00C3483A">
              <w:rPr>
                <w:sz w:val="26"/>
                <w:szCs w:val="26"/>
                <w:lang w:val="en-US"/>
              </w:rPr>
              <w:t>nước</w:t>
            </w:r>
            <w:proofErr w:type="spellEnd"/>
            <w:r w:rsidR="00C3483A">
              <w:rPr>
                <w:sz w:val="26"/>
                <w:szCs w:val="26"/>
                <w:lang w:val="en-US"/>
              </w:rPr>
              <w:t xml:space="preserve"> </w:t>
            </w:r>
            <w:proofErr w:type="spellStart"/>
            <w:r w:rsidR="00C3483A">
              <w:rPr>
                <w:sz w:val="26"/>
                <w:szCs w:val="26"/>
                <w:lang w:val="en-US"/>
              </w:rPr>
              <w:t>để</w:t>
            </w:r>
            <w:proofErr w:type="spellEnd"/>
            <w:r w:rsidR="00C3483A">
              <w:rPr>
                <w:sz w:val="26"/>
                <w:szCs w:val="26"/>
                <w:lang w:val="en-US"/>
              </w:rPr>
              <w:t xml:space="preserve"> </w:t>
            </w:r>
            <w:proofErr w:type="spellStart"/>
            <w:r w:rsidR="00C3483A">
              <w:rPr>
                <w:sz w:val="26"/>
                <w:szCs w:val="26"/>
                <w:lang w:val="en-US"/>
              </w:rPr>
              <w:t>đề</w:t>
            </w:r>
            <w:proofErr w:type="spellEnd"/>
            <w:r w:rsidR="00C3483A">
              <w:rPr>
                <w:sz w:val="26"/>
                <w:szCs w:val="26"/>
                <w:lang w:val="en-US"/>
              </w:rPr>
              <w:t xml:space="preserve"> </w:t>
            </w:r>
            <w:proofErr w:type="spellStart"/>
            <w:r w:rsidR="00C3483A">
              <w:rPr>
                <w:sz w:val="26"/>
                <w:szCs w:val="26"/>
                <w:lang w:val="en-US"/>
              </w:rPr>
              <w:t>xuất</w:t>
            </w:r>
            <w:proofErr w:type="spellEnd"/>
            <w:r w:rsidR="00C3483A">
              <w:rPr>
                <w:sz w:val="26"/>
                <w:szCs w:val="26"/>
                <w:lang w:val="en-US"/>
              </w:rPr>
              <w:t xml:space="preserve"> </w:t>
            </w:r>
            <w:proofErr w:type="spellStart"/>
            <w:r w:rsidR="00C3483A">
              <w:rPr>
                <w:sz w:val="26"/>
                <w:szCs w:val="26"/>
                <w:lang w:val="en-US"/>
              </w:rPr>
              <w:t>mức</w:t>
            </w:r>
            <w:proofErr w:type="spellEnd"/>
            <w:r w:rsidR="00C3483A">
              <w:rPr>
                <w:sz w:val="26"/>
                <w:szCs w:val="26"/>
                <w:lang w:val="en-US"/>
              </w:rPr>
              <w:t xml:space="preserve"> </w:t>
            </w:r>
            <w:proofErr w:type="spellStart"/>
            <w:r w:rsidR="00C3483A">
              <w:rPr>
                <w:sz w:val="26"/>
                <w:szCs w:val="26"/>
                <w:lang w:val="en-US"/>
              </w:rPr>
              <w:t>thuế</w:t>
            </w:r>
            <w:proofErr w:type="spellEnd"/>
            <w:r w:rsidR="00C3483A">
              <w:rPr>
                <w:sz w:val="26"/>
                <w:szCs w:val="26"/>
                <w:lang w:val="en-US"/>
              </w:rPr>
              <w:t xml:space="preserve"> </w:t>
            </w:r>
            <w:proofErr w:type="spellStart"/>
            <w:r w:rsidR="00C3483A">
              <w:rPr>
                <w:sz w:val="26"/>
                <w:szCs w:val="26"/>
                <w:lang w:val="en-US"/>
              </w:rPr>
              <w:t>mức</w:t>
            </w:r>
            <w:proofErr w:type="spellEnd"/>
            <w:r w:rsidR="00C3483A">
              <w:rPr>
                <w:sz w:val="26"/>
                <w:szCs w:val="26"/>
                <w:lang w:val="en-US"/>
              </w:rPr>
              <w:t xml:space="preserve"> </w:t>
            </w:r>
            <w:proofErr w:type="spellStart"/>
            <w:r w:rsidR="00C3483A">
              <w:rPr>
                <w:sz w:val="26"/>
                <w:szCs w:val="26"/>
                <w:lang w:val="en-US"/>
              </w:rPr>
              <w:t>thuế</w:t>
            </w:r>
            <w:proofErr w:type="spellEnd"/>
            <w:r w:rsidR="00C3483A">
              <w:rPr>
                <w:sz w:val="26"/>
                <w:szCs w:val="26"/>
                <w:lang w:val="en-US"/>
              </w:rPr>
              <w:t xml:space="preserve"> </w:t>
            </w:r>
            <w:proofErr w:type="spellStart"/>
            <w:r w:rsidR="00C3483A">
              <w:rPr>
                <w:sz w:val="26"/>
                <w:szCs w:val="26"/>
                <w:lang w:val="en-US"/>
              </w:rPr>
              <w:t>suất</w:t>
            </w:r>
            <w:proofErr w:type="spellEnd"/>
            <w:r w:rsidR="00C3483A">
              <w:rPr>
                <w:sz w:val="26"/>
                <w:szCs w:val="26"/>
                <w:lang w:val="en-US"/>
              </w:rPr>
              <w:t xml:space="preserve"> </w:t>
            </w:r>
            <w:proofErr w:type="spellStart"/>
            <w:r w:rsidR="00C3483A">
              <w:rPr>
                <w:sz w:val="26"/>
                <w:szCs w:val="26"/>
                <w:lang w:val="en-US"/>
              </w:rPr>
              <w:t>thuế</w:t>
            </w:r>
            <w:proofErr w:type="spellEnd"/>
            <w:r w:rsidR="00C3483A">
              <w:rPr>
                <w:sz w:val="26"/>
                <w:szCs w:val="26"/>
                <w:lang w:val="en-US"/>
              </w:rPr>
              <w:t xml:space="preserve"> </w:t>
            </w:r>
            <w:proofErr w:type="spellStart"/>
            <w:r w:rsidR="00C3483A">
              <w:rPr>
                <w:sz w:val="26"/>
                <w:szCs w:val="26"/>
                <w:lang w:val="en-US"/>
              </w:rPr>
              <w:t>nhập</w:t>
            </w:r>
            <w:proofErr w:type="spellEnd"/>
            <w:r w:rsidR="00C3483A">
              <w:rPr>
                <w:sz w:val="26"/>
                <w:szCs w:val="26"/>
                <w:lang w:val="en-US"/>
              </w:rPr>
              <w:t xml:space="preserve"> </w:t>
            </w:r>
            <w:proofErr w:type="spellStart"/>
            <w:r w:rsidR="00C3483A">
              <w:rPr>
                <w:sz w:val="26"/>
                <w:szCs w:val="26"/>
                <w:lang w:val="en-US"/>
              </w:rPr>
              <w:t>khẩu</w:t>
            </w:r>
            <w:proofErr w:type="spellEnd"/>
            <w:r w:rsidR="00C3483A">
              <w:rPr>
                <w:sz w:val="26"/>
                <w:szCs w:val="26"/>
                <w:lang w:val="en-US"/>
              </w:rPr>
              <w:t xml:space="preserve"> </w:t>
            </w:r>
            <w:proofErr w:type="spellStart"/>
            <w:r w:rsidR="00C3483A">
              <w:rPr>
                <w:sz w:val="26"/>
                <w:szCs w:val="26"/>
                <w:lang w:val="en-US"/>
              </w:rPr>
              <w:t>phù</w:t>
            </w:r>
            <w:proofErr w:type="spellEnd"/>
            <w:r w:rsidR="00C3483A">
              <w:rPr>
                <w:sz w:val="26"/>
                <w:szCs w:val="26"/>
                <w:lang w:val="en-US"/>
              </w:rPr>
              <w:t xml:space="preserve"> </w:t>
            </w:r>
            <w:proofErr w:type="spellStart"/>
            <w:r w:rsidR="00C3483A">
              <w:rPr>
                <w:sz w:val="26"/>
                <w:szCs w:val="26"/>
                <w:lang w:val="en-US"/>
              </w:rPr>
              <w:t>hợp</w:t>
            </w:r>
            <w:proofErr w:type="spellEnd"/>
            <w:r w:rsidR="00C3483A">
              <w:rPr>
                <w:sz w:val="26"/>
                <w:szCs w:val="26"/>
                <w:lang w:val="en-US"/>
              </w:rPr>
              <w:t xml:space="preserve"> </w:t>
            </w:r>
            <w:proofErr w:type="spellStart"/>
            <w:r w:rsidR="00C3483A">
              <w:rPr>
                <w:sz w:val="26"/>
                <w:szCs w:val="26"/>
                <w:lang w:val="en-US"/>
              </w:rPr>
              <w:t>đối</w:t>
            </w:r>
            <w:proofErr w:type="spellEnd"/>
            <w:r w:rsidR="00C3483A">
              <w:rPr>
                <w:sz w:val="26"/>
                <w:szCs w:val="26"/>
                <w:lang w:val="en-US"/>
              </w:rPr>
              <w:t xml:space="preserve"> </w:t>
            </w:r>
            <w:proofErr w:type="spellStart"/>
            <w:r w:rsidR="00C3483A">
              <w:rPr>
                <w:sz w:val="26"/>
                <w:szCs w:val="26"/>
                <w:lang w:val="en-US"/>
              </w:rPr>
              <w:t>với</w:t>
            </w:r>
            <w:proofErr w:type="spellEnd"/>
            <w:r w:rsidR="00C3483A">
              <w:rPr>
                <w:sz w:val="26"/>
                <w:szCs w:val="26"/>
                <w:lang w:val="en-US"/>
              </w:rPr>
              <w:t xml:space="preserve"> </w:t>
            </w:r>
            <w:proofErr w:type="spellStart"/>
            <w:r w:rsidR="00C3483A">
              <w:rPr>
                <w:sz w:val="26"/>
                <w:szCs w:val="26"/>
                <w:lang w:val="en-US"/>
              </w:rPr>
              <w:t>mặt</w:t>
            </w:r>
            <w:proofErr w:type="spellEnd"/>
            <w:r w:rsidR="00C3483A">
              <w:rPr>
                <w:sz w:val="26"/>
                <w:szCs w:val="26"/>
                <w:lang w:val="en-US"/>
              </w:rPr>
              <w:t xml:space="preserve"> </w:t>
            </w:r>
            <w:proofErr w:type="spellStart"/>
            <w:r w:rsidR="00C3483A">
              <w:rPr>
                <w:sz w:val="26"/>
                <w:szCs w:val="26"/>
                <w:lang w:val="en-US"/>
              </w:rPr>
              <w:t>hàng</w:t>
            </w:r>
            <w:proofErr w:type="spellEnd"/>
            <w:r w:rsidR="00C3483A">
              <w:rPr>
                <w:sz w:val="26"/>
                <w:szCs w:val="26"/>
                <w:lang w:val="en-US"/>
              </w:rPr>
              <w:t xml:space="preserve"> </w:t>
            </w:r>
            <w:proofErr w:type="spellStart"/>
            <w:r w:rsidR="00C3483A">
              <w:rPr>
                <w:sz w:val="26"/>
                <w:szCs w:val="26"/>
                <w:lang w:val="en-US"/>
              </w:rPr>
              <w:t>xăng</w:t>
            </w:r>
            <w:proofErr w:type="spellEnd"/>
            <w:r w:rsidR="00C3483A">
              <w:rPr>
                <w:sz w:val="26"/>
                <w:szCs w:val="26"/>
                <w:lang w:val="en-US"/>
              </w:rPr>
              <w:t>.</w:t>
            </w:r>
          </w:p>
        </w:tc>
      </w:tr>
      <w:tr w:rsidR="0091738D" w:rsidRPr="0091738D" w:rsidTr="0091738D">
        <w:trPr>
          <w:trHeight w:val="567"/>
        </w:trPr>
        <w:tc>
          <w:tcPr>
            <w:tcW w:w="675" w:type="dxa"/>
          </w:tcPr>
          <w:p w:rsidR="0091738D" w:rsidRPr="0091738D" w:rsidRDefault="0091738D" w:rsidP="000D0966">
            <w:pPr>
              <w:pStyle w:val="ListParagraph"/>
              <w:widowControl w:val="0"/>
              <w:numPr>
                <w:ilvl w:val="0"/>
                <w:numId w:val="2"/>
              </w:numPr>
              <w:spacing w:beforeLines="40" w:afterLines="20"/>
              <w:jc w:val="center"/>
              <w:rPr>
                <w:sz w:val="26"/>
                <w:szCs w:val="26"/>
              </w:rPr>
            </w:pPr>
          </w:p>
        </w:tc>
        <w:tc>
          <w:tcPr>
            <w:tcW w:w="4536" w:type="dxa"/>
          </w:tcPr>
          <w:p w:rsidR="00762858" w:rsidRDefault="0091738D" w:rsidP="000D0966">
            <w:pPr>
              <w:widowControl w:val="0"/>
              <w:spacing w:beforeLines="40" w:afterLines="20"/>
              <w:jc w:val="both"/>
              <w:rPr>
                <w:sz w:val="26"/>
                <w:szCs w:val="26"/>
                <w:lang w:val="en-US"/>
              </w:rPr>
            </w:pPr>
            <w:proofErr w:type="spellStart"/>
            <w:r w:rsidRPr="0091738D">
              <w:rPr>
                <w:sz w:val="26"/>
                <w:szCs w:val="26"/>
                <w:lang w:val="en-US"/>
              </w:rPr>
              <w:t>Bộ</w:t>
            </w:r>
            <w:proofErr w:type="spellEnd"/>
            <w:r w:rsidRPr="0091738D">
              <w:rPr>
                <w:sz w:val="26"/>
                <w:szCs w:val="26"/>
                <w:lang w:val="en-US"/>
              </w:rPr>
              <w:t xml:space="preserve"> </w:t>
            </w:r>
            <w:proofErr w:type="spellStart"/>
            <w:r w:rsidRPr="0091738D">
              <w:rPr>
                <w:sz w:val="26"/>
                <w:szCs w:val="26"/>
                <w:lang w:val="en-US"/>
              </w:rPr>
              <w:t>Công</w:t>
            </w:r>
            <w:proofErr w:type="spellEnd"/>
            <w:r w:rsidRPr="0091738D">
              <w:rPr>
                <w:sz w:val="26"/>
                <w:szCs w:val="26"/>
                <w:lang w:val="en-US"/>
              </w:rPr>
              <w:t xml:space="preserve"> </w:t>
            </w:r>
            <w:proofErr w:type="spellStart"/>
            <w:r w:rsidRPr="0091738D">
              <w:rPr>
                <w:sz w:val="26"/>
                <w:szCs w:val="26"/>
                <w:lang w:val="en-US"/>
              </w:rPr>
              <w:t>Thương</w:t>
            </w:r>
            <w:proofErr w:type="spellEnd"/>
          </w:p>
          <w:p w:rsidR="0091738D" w:rsidRPr="0091738D" w:rsidRDefault="0091738D" w:rsidP="000D0966">
            <w:pPr>
              <w:widowControl w:val="0"/>
              <w:spacing w:beforeLines="40" w:afterLines="20"/>
              <w:jc w:val="both"/>
              <w:rPr>
                <w:sz w:val="26"/>
                <w:szCs w:val="26"/>
                <w:lang w:val="en-US"/>
              </w:rPr>
            </w:pPr>
            <w:r w:rsidRPr="0091738D">
              <w:rPr>
                <w:sz w:val="26"/>
                <w:szCs w:val="26"/>
                <w:lang w:val="en-US"/>
              </w:rPr>
              <w:t>(</w:t>
            </w:r>
            <w:proofErr w:type="spellStart"/>
            <w:r w:rsidR="00762858">
              <w:rPr>
                <w:sz w:val="26"/>
                <w:szCs w:val="26"/>
                <w:lang w:val="en-US"/>
              </w:rPr>
              <w:t>C</w:t>
            </w:r>
            <w:r w:rsidRPr="0091738D">
              <w:rPr>
                <w:sz w:val="26"/>
                <w:szCs w:val="26"/>
                <w:lang w:val="en-US"/>
              </w:rPr>
              <w:t>ông</w:t>
            </w:r>
            <w:proofErr w:type="spellEnd"/>
            <w:r w:rsidRPr="0091738D">
              <w:rPr>
                <w:sz w:val="26"/>
                <w:szCs w:val="26"/>
                <w:lang w:val="en-US"/>
              </w:rPr>
              <w:t xml:space="preserve"> </w:t>
            </w:r>
            <w:proofErr w:type="spellStart"/>
            <w:r w:rsidRPr="0091738D">
              <w:rPr>
                <w:sz w:val="26"/>
                <w:szCs w:val="26"/>
                <w:lang w:val="en-US"/>
              </w:rPr>
              <w:t>văn</w:t>
            </w:r>
            <w:proofErr w:type="spellEnd"/>
            <w:r w:rsidRPr="0091738D">
              <w:rPr>
                <w:sz w:val="26"/>
                <w:szCs w:val="26"/>
                <w:lang w:val="en-US"/>
              </w:rPr>
              <w:t xml:space="preserve"> </w:t>
            </w:r>
            <w:proofErr w:type="spellStart"/>
            <w:r w:rsidRPr="0091738D">
              <w:rPr>
                <w:sz w:val="26"/>
                <w:szCs w:val="26"/>
                <w:lang w:val="en-US"/>
              </w:rPr>
              <w:t>số</w:t>
            </w:r>
            <w:proofErr w:type="spellEnd"/>
            <w:r w:rsidRPr="0091738D">
              <w:rPr>
                <w:sz w:val="26"/>
                <w:szCs w:val="26"/>
                <w:lang w:val="en-US"/>
              </w:rPr>
              <w:t xml:space="preserve"> 2916/BCT-XNK </w:t>
            </w:r>
            <w:proofErr w:type="spellStart"/>
            <w:r w:rsidRPr="0091738D">
              <w:rPr>
                <w:sz w:val="26"/>
                <w:szCs w:val="26"/>
                <w:lang w:val="en-US"/>
              </w:rPr>
              <w:t>ngày</w:t>
            </w:r>
            <w:proofErr w:type="spellEnd"/>
            <w:r w:rsidRPr="0091738D">
              <w:rPr>
                <w:sz w:val="26"/>
                <w:szCs w:val="26"/>
                <w:lang w:val="en-US"/>
              </w:rPr>
              <w:t xml:space="preserve"> 30/5/2022)</w:t>
            </w:r>
          </w:p>
        </w:tc>
        <w:tc>
          <w:tcPr>
            <w:tcW w:w="4395" w:type="dxa"/>
          </w:tcPr>
          <w:p w:rsidR="0091738D" w:rsidRPr="0091738D" w:rsidRDefault="0091738D" w:rsidP="000D0966">
            <w:pPr>
              <w:widowControl w:val="0"/>
              <w:spacing w:beforeLines="40" w:afterLines="20"/>
              <w:jc w:val="both"/>
              <w:rPr>
                <w:sz w:val="26"/>
                <w:szCs w:val="26"/>
                <w:lang w:val="en-US"/>
              </w:rPr>
            </w:pPr>
            <w:proofErr w:type="spellStart"/>
            <w:r w:rsidRPr="0091738D">
              <w:rPr>
                <w:sz w:val="26"/>
                <w:szCs w:val="26"/>
                <w:lang w:val="en-US"/>
              </w:rPr>
              <w:t>Đề</w:t>
            </w:r>
            <w:proofErr w:type="spellEnd"/>
            <w:r w:rsidRPr="0091738D">
              <w:rPr>
                <w:sz w:val="26"/>
                <w:szCs w:val="26"/>
                <w:lang w:val="en-US"/>
              </w:rPr>
              <w:t xml:space="preserve"> </w:t>
            </w:r>
            <w:proofErr w:type="spellStart"/>
            <w:r w:rsidRPr="0091738D">
              <w:rPr>
                <w:sz w:val="26"/>
                <w:szCs w:val="26"/>
                <w:lang w:val="en-US"/>
              </w:rPr>
              <w:t>nghị</w:t>
            </w:r>
            <w:proofErr w:type="spellEnd"/>
            <w:r w:rsidRPr="0091738D">
              <w:rPr>
                <w:sz w:val="26"/>
                <w:szCs w:val="26"/>
                <w:lang w:val="en-US"/>
              </w:rPr>
              <w:t xml:space="preserve"> </w:t>
            </w:r>
            <w:proofErr w:type="spellStart"/>
            <w:r w:rsidRPr="0091738D">
              <w:rPr>
                <w:sz w:val="26"/>
                <w:szCs w:val="26"/>
                <w:lang w:val="en-US"/>
              </w:rPr>
              <w:t>xem</w:t>
            </w:r>
            <w:proofErr w:type="spellEnd"/>
            <w:r w:rsidRPr="0091738D">
              <w:rPr>
                <w:sz w:val="26"/>
                <w:szCs w:val="26"/>
                <w:lang w:val="en-US"/>
              </w:rPr>
              <w:t xml:space="preserve"> </w:t>
            </w:r>
            <w:proofErr w:type="spellStart"/>
            <w:r w:rsidRPr="0091738D">
              <w:rPr>
                <w:sz w:val="26"/>
                <w:szCs w:val="26"/>
                <w:lang w:val="en-US"/>
              </w:rPr>
              <w:t>xét</w:t>
            </w:r>
            <w:proofErr w:type="spellEnd"/>
            <w:r w:rsidRPr="0091738D">
              <w:rPr>
                <w:sz w:val="26"/>
                <w:szCs w:val="26"/>
                <w:lang w:val="en-US"/>
              </w:rPr>
              <w:t xml:space="preserve"> </w:t>
            </w:r>
            <w:proofErr w:type="spellStart"/>
            <w:r w:rsidRPr="0091738D">
              <w:rPr>
                <w:sz w:val="26"/>
                <w:szCs w:val="26"/>
                <w:lang w:val="en-US"/>
              </w:rPr>
              <w:t>đưa</w:t>
            </w:r>
            <w:proofErr w:type="spellEnd"/>
            <w:r w:rsidRPr="0091738D">
              <w:rPr>
                <w:sz w:val="26"/>
                <w:szCs w:val="26"/>
                <w:lang w:val="en-US"/>
              </w:rPr>
              <w:t xml:space="preserve"> </w:t>
            </w:r>
            <w:proofErr w:type="spellStart"/>
            <w:r w:rsidRPr="0091738D">
              <w:rPr>
                <w:sz w:val="26"/>
                <w:szCs w:val="26"/>
                <w:lang w:val="en-US"/>
              </w:rPr>
              <w:t>thuế</w:t>
            </w:r>
            <w:proofErr w:type="spellEnd"/>
            <w:r w:rsidRPr="0091738D">
              <w:rPr>
                <w:sz w:val="26"/>
                <w:szCs w:val="26"/>
                <w:lang w:val="en-US"/>
              </w:rPr>
              <w:t xml:space="preserve"> </w:t>
            </w:r>
            <w:proofErr w:type="spellStart"/>
            <w:r w:rsidRPr="0091738D">
              <w:rPr>
                <w:sz w:val="26"/>
                <w:szCs w:val="26"/>
                <w:lang w:val="en-US"/>
              </w:rPr>
              <w:t>nhập</w:t>
            </w:r>
            <w:proofErr w:type="spellEnd"/>
            <w:r w:rsidRPr="0091738D">
              <w:rPr>
                <w:sz w:val="26"/>
                <w:szCs w:val="26"/>
                <w:lang w:val="en-US"/>
              </w:rPr>
              <w:t xml:space="preserve"> </w:t>
            </w:r>
            <w:proofErr w:type="spellStart"/>
            <w:r w:rsidRPr="0091738D">
              <w:rPr>
                <w:sz w:val="26"/>
                <w:szCs w:val="26"/>
                <w:lang w:val="en-US"/>
              </w:rPr>
              <w:t>khẩu</w:t>
            </w:r>
            <w:proofErr w:type="spellEnd"/>
            <w:r w:rsidRPr="0091738D">
              <w:rPr>
                <w:sz w:val="26"/>
                <w:szCs w:val="26"/>
                <w:lang w:val="en-US"/>
              </w:rPr>
              <w:t xml:space="preserve"> </w:t>
            </w:r>
            <w:proofErr w:type="spellStart"/>
            <w:r w:rsidRPr="0091738D">
              <w:rPr>
                <w:sz w:val="26"/>
                <w:szCs w:val="26"/>
                <w:lang w:val="en-US"/>
              </w:rPr>
              <w:t>xăng</w:t>
            </w:r>
            <w:proofErr w:type="spellEnd"/>
            <w:r w:rsidRPr="0091738D">
              <w:rPr>
                <w:sz w:val="26"/>
                <w:szCs w:val="26"/>
                <w:lang w:val="en-US"/>
              </w:rPr>
              <w:t xml:space="preserve"> </w:t>
            </w:r>
            <w:proofErr w:type="spellStart"/>
            <w:r w:rsidRPr="0091738D">
              <w:rPr>
                <w:sz w:val="26"/>
                <w:szCs w:val="26"/>
                <w:lang w:val="en-US"/>
              </w:rPr>
              <w:t>dầu</w:t>
            </w:r>
            <w:proofErr w:type="spellEnd"/>
            <w:r w:rsidRPr="0091738D">
              <w:rPr>
                <w:sz w:val="26"/>
                <w:szCs w:val="26"/>
                <w:lang w:val="en-US"/>
              </w:rPr>
              <w:t xml:space="preserve"> </w:t>
            </w:r>
            <w:proofErr w:type="spellStart"/>
            <w:r w:rsidRPr="0091738D">
              <w:rPr>
                <w:sz w:val="26"/>
                <w:szCs w:val="26"/>
                <w:lang w:val="en-US"/>
              </w:rPr>
              <w:t>về</w:t>
            </w:r>
            <w:proofErr w:type="spellEnd"/>
            <w:r w:rsidRPr="0091738D">
              <w:rPr>
                <w:sz w:val="26"/>
                <w:szCs w:val="26"/>
                <w:lang w:val="en-US"/>
              </w:rPr>
              <w:t xml:space="preserve"> </w:t>
            </w:r>
            <w:proofErr w:type="spellStart"/>
            <w:r w:rsidRPr="0091738D">
              <w:rPr>
                <w:sz w:val="26"/>
                <w:szCs w:val="26"/>
                <w:lang w:val="en-US"/>
              </w:rPr>
              <w:t>cùng</w:t>
            </w:r>
            <w:proofErr w:type="spellEnd"/>
            <w:r w:rsidRPr="0091738D">
              <w:rPr>
                <w:sz w:val="26"/>
                <w:szCs w:val="26"/>
                <w:lang w:val="en-US"/>
              </w:rPr>
              <w:t xml:space="preserve"> </w:t>
            </w:r>
            <w:proofErr w:type="spellStart"/>
            <w:r w:rsidRPr="0091738D">
              <w:rPr>
                <w:sz w:val="26"/>
                <w:szCs w:val="26"/>
                <w:lang w:val="en-US"/>
              </w:rPr>
              <w:t>mức</w:t>
            </w:r>
            <w:proofErr w:type="spellEnd"/>
            <w:r w:rsidRPr="0091738D">
              <w:rPr>
                <w:sz w:val="26"/>
                <w:szCs w:val="26"/>
                <w:lang w:val="en-US"/>
              </w:rPr>
              <w:t xml:space="preserve"> 8% </w:t>
            </w:r>
            <w:proofErr w:type="spellStart"/>
            <w:r w:rsidRPr="0091738D">
              <w:rPr>
                <w:sz w:val="26"/>
                <w:szCs w:val="26"/>
                <w:lang w:val="en-US"/>
              </w:rPr>
              <w:t>như</w:t>
            </w:r>
            <w:proofErr w:type="spellEnd"/>
            <w:r w:rsidRPr="0091738D">
              <w:rPr>
                <w:sz w:val="26"/>
                <w:szCs w:val="26"/>
                <w:lang w:val="en-US"/>
              </w:rPr>
              <w:t xml:space="preserve"> </w:t>
            </w:r>
            <w:proofErr w:type="spellStart"/>
            <w:r w:rsidRPr="0091738D">
              <w:rPr>
                <w:sz w:val="26"/>
                <w:szCs w:val="26"/>
                <w:lang w:val="en-US"/>
              </w:rPr>
              <w:t>mức</w:t>
            </w:r>
            <w:proofErr w:type="spellEnd"/>
            <w:r w:rsidRPr="0091738D">
              <w:rPr>
                <w:sz w:val="26"/>
                <w:szCs w:val="26"/>
                <w:lang w:val="en-US"/>
              </w:rPr>
              <w:t xml:space="preserve"> </w:t>
            </w:r>
            <w:proofErr w:type="spellStart"/>
            <w:r w:rsidRPr="0091738D">
              <w:rPr>
                <w:sz w:val="26"/>
                <w:szCs w:val="26"/>
                <w:lang w:val="en-US"/>
              </w:rPr>
              <w:t>thuế</w:t>
            </w:r>
            <w:proofErr w:type="spellEnd"/>
            <w:r w:rsidRPr="0091738D">
              <w:rPr>
                <w:sz w:val="26"/>
                <w:szCs w:val="26"/>
                <w:lang w:val="en-US"/>
              </w:rPr>
              <w:t xml:space="preserve"> </w:t>
            </w:r>
            <w:proofErr w:type="spellStart"/>
            <w:r w:rsidRPr="0091738D">
              <w:rPr>
                <w:sz w:val="26"/>
                <w:szCs w:val="26"/>
                <w:lang w:val="en-US"/>
              </w:rPr>
              <w:t>đang</w:t>
            </w:r>
            <w:proofErr w:type="spellEnd"/>
            <w:r w:rsidRPr="0091738D">
              <w:rPr>
                <w:sz w:val="26"/>
                <w:szCs w:val="26"/>
                <w:lang w:val="en-US"/>
              </w:rPr>
              <w:t xml:space="preserve"> </w:t>
            </w:r>
            <w:proofErr w:type="spellStart"/>
            <w:r w:rsidRPr="0091738D">
              <w:rPr>
                <w:sz w:val="26"/>
                <w:szCs w:val="26"/>
                <w:lang w:val="en-US"/>
              </w:rPr>
              <w:t>áp</w:t>
            </w:r>
            <w:proofErr w:type="spellEnd"/>
            <w:r w:rsidRPr="0091738D">
              <w:rPr>
                <w:sz w:val="26"/>
                <w:szCs w:val="26"/>
                <w:lang w:val="en-US"/>
              </w:rPr>
              <w:t xml:space="preserve"> </w:t>
            </w:r>
            <w:proofErr w:type="spellStart"/>
            <w:r w:rsidRPr="0091738D">
              <w:rPr>
                <w:sz w:val="26"/>
                <w:szCs w:val="26"/>
                <w:lang w:val="en-US"/>
              </w:rPr>
              <w:t>dụng</w:t>
            </w:r>
            <w:proofErr w:type="spellEnd"/>
            <w:r w:rsidRPr="0091738D">
              <w:rPr>
                <w:sz w:val="26"/>
                <w:szCs w:val="26"/>
                <w:lang w:val="en-US"/>
              </w:rPr>
              <w:t xml:space="preserve"> </w:t>
            </w:r>
            <w:proofErr w:type="spellStart"/>
            <w:r w:rsidRPr="0091738D">
              <w:rPr>
                <w:sz w:val="26"/>
                <w:szCs w:val="26"/>
                <w:lang w:val="en-US"/>
              </w:rPr>
              <w:t>cho</w:t>
            </w:r>
            <w:proofErr w:type="spellEnd"/>
            <w:r w:rsidRPr="0091738D">
              <w:rPr>
                <w:sz w:val="26"/>
                <w:szCs w:val="26"/>
                <w:lang w:val="en-US"/>
              </w:rPr>
              <w:t xml:space="preserve"> </w:t>
            </w:r>
            <w:proofErr w:type="spellStart"/>
            <w:r w:rsidRPr="0091738D">
              <w:rPr>
                <w:sz w:val="26"/>
                <w:szCs w:val="26"/>
                <w:lang w:val="en-US"/>
              </w:rPr>
              <w:t>nhập</w:t>
            </w:r>
            <w:proofErr w:type="spellEnd"/>
            <w:r w:rsidRPr="0091738D">
              <w:rPr>
                <w:sz w:val="26"/>
                <w:szCs w:val="26"/>
                <w:lang w:val="en-US"/>
              </w:rPr>
              <w:t xml:space="preserve"> </w:t>
            </w:r>
            <w:proofErr w:type="spellStart"/>
            <w:r w:rsidRPr="0091738D">
              <w:rPr>
                <w:sz w:val="26"/>
                <w:szCs w:val="26"/>
                <w:lang w:val="en-US"/>
              </w:rPr>
              <w:t>khẩu</w:t>
            </w:r>
            <w:proofErr w:type="spellEnd"/>
            <w:r w:rsidRPr="0091738D">
              <w:rPr>
                <w:sz w:val="26"/>
                <w:szCs w:val="26"/>
                <w:lang w:val="en-US"/>
              </w:rPr>
              <w:t xml:space="preserve"> </w:t>
            </w:r>
            <w:proofErr w:type="spellStart"/>
            <w:r w:rsidRPr="0091738D">
              <w:rPr>
                <w:sz w:val="26"/>
                <w:szCs w:val="26"/>
                <w:lang w:val="en-US"/>
              </w:rPr>
              <w:t>xăng</w:t>
            </w:r>
            <w:proofErr w:type="spellEnd"/>
            <w:r w:rsidRPr="0091738D">
              <w:rPr>
                <w:sz w:val="26"/>
                <w:szCs w:val="26"/>
                <w:lang w:val="en-US"/>
              </w:rPr>
              <w:t xml:space="preserve"> </w:t>
            </w:r>
            <w:proofErr w:type="spellStart"/>
            <w:r w:rsidRPr="0091738D">
              <w:rPr>
                <w:sz w:val="26"/>
                <w:szCs w:val="26"/>
                <w:lang w:val="en-US"/>
              </w:rPr>
              <w:t>dầu</w:t>
            </w:r>
            <w:proofErr w:type="spellEnd"/>
            <w:r w:rsidRPr="0091738D">
              <w:rPr>
                <w:sz w:val="26"/>
                <w:szCs w:val="26"/>
                <w:lang w:val="en-US"/>
              </w:rPr>
              <w:t xml:space="preserve"> </w:t>
            </w:r>
            <w:proofErr w:type="spellStart"/>
            <w:r w:rsidRPr="0091738D">
              <w:rPr>
                <w:sz w:val="26"/>
                <w:szCs w:val="26"/>
                <w:lang w:val="en-US"/>
              </w:rPr>
              <w:t>từ</w:t>
            </w:r>
            <w:proofErr w:type="spellEnd"/>
            <w:r w:rsidRPr="0091738D">
              <w:rPr>
                <w:sz w:val="26"/>
                <w:szCs w:val="26"/>
                <w:lang w:val="en-US"/>
              </w:rPr>
              <w:t xml:space="preserve"> </w:t>
            </w:r>
            <w:proofErr w:type="spellStart"/>
            <w:r w:rsidRPr="0091738D">
              <w:rPr>
                <w:sz w:val="26"/>
                <w:szCs w:val="26"/>
                <w:lang w:val="en-US"/>
              </w:rPr>
              <w:t>hàn</w:t>
            </w:r>
            <w:proofErr w:type="spellEnd"/>
            <w:r w:rsidRPr="0091738D">
              <w:rPr>
                <w:sz w:val="26"/>
                <w:szCs w:val="26"/>
                <w:lang w:val="en-US"/>
              </w:rPr>
              <w:t xml:space="preserve"> </w:t>
            </w:r>
            <w:proofErr w:type="spellStart"/>
            <w:r w:rsidRPr="0091738D">
              <w:rPr>
                <w:sz w:val="26"/>
                <w:szCs w:val="26"/>
                <w:lang w:val="en-US"/>
              </w:rPr>
              <w:t>Quốc</w:t>
            </w:r>
            <w:proofErr w:type="spellEnd"/>
            <w:r w:rsidRPr="0091738D">
              <w:rPr>
                <w:sz w:val="26"/>
                <w:szCs w:val="26"/>
                <w:lang w:val="en-US"/>
              </w:rPr>
              <w:t xml:space="preserve"> </w:t>
            </w:r>
            <w:proofErr w:type="spellStart"/>
            <w:r w:rsidRPr="0091738D">
              <w:rPr>
                <w:sz w:val="26"/>
                <w:szCs w:val="26"/>
                <w:lang w:val="en-US"/>
              </w:rPr>
              <w:t>và</w:t>
            </w:r>
            <w:proofErr w:type="spellEnd"/>
            <w:r w:rsidRPr="0091738D">
              <w:rPr>
                <w:sz w:val="26"/>
                <w:szCs w:val="26"/>
                <w:lang w:val="en-US"/>
              </w:rPr>
              <w:t xml:space="preserve"> ASEAN </w:t>
            </w:r>
            <w:proofErr w:type="spellStart"/>
            <w:r w:rsidRPr="0091738D">
              <w:rPr>
                <w:sz w:val="26"/>
                <w:szCs w:val="26"/>
                <w:lang w:val="en-US"/>
              </w:rPr>
              <w:t>để</w:t>
            </w:r>
            <w:proofErr w:type="spellEnd"/>
            <w:r w:rsidRPr="0091738D">
              <w:rPr>
                <w:sz w:val="26"/>
                <w:szCs w:val="26"/>
                <w:lang w:val="en-US"/>
              </w:rPr>
              <w:t xml:space="preserve"> </w:t>
            </w:r>
            <w:proofErr w:type="spellStart"/>
            <w:r w:rsidRPr="0091738D">
              <w:rPr>
                <w:sz w:val="26"/>
                <w:szCs w:val="26"/>
                <w:lang w:val="en-US"/>
              </w:rPr>
              <w:t>doanh</w:t>
            </w:r>
            <w:proofErr w:type="spellEnd"/>
            <w:r w:rsidRPr="0091738D">
              <w:rPr>
                <w:sz w:val="26"/>
                <w:szCs w:val="26"/>
                <w:lang w:val="en-US"/>
              </w:rPr>
              <w:t xml:space="preserve"> </w:t>
            </w:r>
            <w:proofErr w:type="spellStart"/>
            <w:r w:rsidRPr="0091738D">
              <w:rPr>
                <w:sz w:val="26"/>
                <w:szCs w:val="26"/>
                <w:lang w:val="en-US"/>
              </w:rPr>
              <w:t>nghiệp</w:t>
            </w:r>
            <w:proofErr w:type="spellEnd"/>
            <w:r w:rsidRPr="0091738D">
              <w:rPr>
                <w:sz w:val="26"/>
                <w:szCs w:val="26"/>
                <w:lang w:val="en-US"/>
              </w:rPr>
              <w:t xml:space="preserve"> </w:t>
            </w:r>
            <w:proofErr w:type="spellStart"/>
            <w:r w:rsidRPr="0091738D">
              <w:rPr>
                <w:sz w:val="26"/>
                <w:szCs w:val="26"/>
                <w:lang w:val="en-US"/>
              </w:rPr>
              <w:t>có</w:t>
            </w:r>
            <w:proofErr w:type="spellEnd"/>
            <w:r w:rsidRPr="0091738D">
              <w:rPr>
                <w:sz w:val="26"/>
                <w:szCs w:val="26"/>
                <w:lang w:val="en-US"/>
              </w:rPr>
              <w:t xml:space="preserve"> </w:t>
            </w:r>
            <w:proofErr w:type="spellStart"/>
            <w:r w:rsidRPr="0091738D">
              <w:rPr>
                <w:sz w:val="26"/>
                <w:szCs w:val="26"/>
                <w:lang w:val="en-US"/>
              </w:rPr>
              <w:t>điều</w:t>
            </w:r>
            <w:proofErr w:type="spellEnd"/>
            <w:r w:rsidRPr="0091738D">
              <w:rPr>
                <w:sz w:val="26"/>
                <w:szCs w:val="26"/>
                <w:lang w:val="en-US"/>
              </w:rPr>
              <w:t xml:space="preserve"> </w:t>
            </w:r>
            <w:proofErr w:type="spellStart"/>
            <w:r w:rsidRPr="0091738D">
              <w:rPr>
                <w:sz w:val="26"/>
                <w:szCs w:val="26"/>
                <w:lang w:val="en-US"/>
              </w:rPr>
              <w:t>kiện</w:t>
            </w:r>
            <w:proofErr w:type="spellEnd"/>
            <w:r w:rsidRPr="0091738D">
              <w:rPr>
                <w:sz w:val="26"/>
                <w:szCs w:val="26"/>
                <w:lang w:val="en-US"/>
              </w:rPr>
              <w:t xml:space="preserve"> </w:t>
            </w:r>
            <w:proofErr w:type="spellStart"/>
            <w:r w:rsidRPr="0091738D">
              <w:rPr>
                <w:sz w:val="26"/>
                <w:szCs w:val="26"/>
                <w:lang w:val="en-US"/>
              </w:rPr>
              <w:t>đa</w:t>
            </w:r>
            <w:proofErr w:type="spellEnd"/>
            <w:r w:rsidRPr="0091738D">
              <w:rPr>
                <w:sz w:val="26"/>
                <w:szCs w:val="26"/>
                <w:lang w:val="en-US"/>
              </w:rPr>
              <w:t xml:space="preserve"> </w:t>
            </w:r>
            <w:proofErr w:type="spellStart"/>
            <w:r w:rsidRPr="0091738D">
              <w:rPr>
                <w:sz w:val="26"/>
                <w:szCs w:val="26"/>
                <w:lang w:val="en-US"/>
              </w:rPr>
              <w:t>dạng</w:t>
            </w:r>
            <w:proofErr w:type="spellEnd"/>
            <w:r w:rsidRPr="0091738D">
              <w:rPr>
                <w:sz w:val="26"/>
                <w:szCs w:val="26"/>
                <w:lang w:val="en-US"/>
              </w:rPr>
              <w:t xml:space="preserve"> </w:t>
            </w:r>
            <w:proofErr w:type="spellStart"/>
            <w:r w:rsidRPr="0091738D">
              <w:rPr>
                <w:sz w:val="26"/>
                <w:szCs w:val="26"/>
                <w:lang w:val="en-US"/>
              </w:rPr>
              <w:t>hóa</w:t>
            </w:r>
            <w:proofErr w:type="spellEnd"/>
            <w:r w:rsidRPr="0091738D">
              <w:rPr>
                <w:sz w:val="26"/>
                <w:szCs w:val="26"/>
                <w:lang w:val="en-US"/>
              </w:rPr>
              <w:t xml:space="preserve"> </w:t>
            </w:r>
            <w:proofErr w:type="spellStart"/>
            <w:r w:rsidRPr="0091738D">
              <w:rPr>
                <w:sz w:val="26"/>
                <w:szCs w:val="26"/>
                <w:lang w:val="en-US"/>
              </w:rPr>
              <w:t>nguồn</w:t>
            </w:r>
            <w:proofErr w:type="spellEnd"/>
            <w:r w:rsidRPr="0091738D">
              <w:rPr>
                <w:sz w:val="26"/>
                <w:szCs w:val="26"/>
                <w:lang w:val="en-US"/>
              </w:rPr>
              <w:t xml:space="preserve"> </w:t>
            </w:r>
            <w:proofErr w:type="spellStart"/>
            <w:r w:rsidRPr="0091738D">
              <w:rPr>
                <w:sz w:val="26"/>
                <w:szCs w:val="26"/>
                <w:lang w:val="en-US"/>
              </w:rPr>
              <w:t>cung</w:t>
            </w:r>
            <w:proofErr w:type="spellEnd"/>
            <w:r w:rsidRPr="0091738D">
              <w:rPr>
                <w:sz w:val="26"/>
                <w:szCs w:val="26"/>
                <w:lang w:val="en-US"/>
              </w:rPr>
              <w:t xml:space="preserve">, </w:t>
            </w:r>
            <w:proofErr w:type="spellStart"/>
            <w:r w:rsidRPr="0091738D">
              <w:rPr>
                <w:sz w:val="26"/>
                <w:szCs w:val="26"/>
                <w:lang w:val="en-US"/>
              </w:rPr>
              <w:t>tránh</w:t>
            </w:r>
            <w:proofErr w:type="spellEnd"/>
            <w:r w:rsidRPr="0091738D">
              <w:rPr>
                <w:sz w:val="26"/>
                <w:szCs w:val="26"/>
                <w:lang w:val="en-US"/>
              </w:rPr>
              <w:t xml:space="preserve"> </w:t>
            </w:r>
            <w:proofErr w:type="spellStart"/>
            <w:r w:rsidRPr="0091738D">
              <w:rPr>
                <w:sz w:val="26"/>
                <w:szCs w:val="26"/>
                <w:lang w:val="en-US"/>
              </w:rPr>
              <w:t>bị</w:t>
            </w:r>
            <w:proofErr w:type="spellEnd"/>
            <w:r w:rsidRPr="0091738D">
              <w:rPr>
                <w:sz w:val="26"/>
                <w:szCs w:val="26"/>
                <w:lang w:val="en-US"/>
              </w:rPr>
              <w:t xml:space="preserve"> </w:t>
            </w:r>
            <w:proofErr w:type="spellStart"/>
            <w:r w:rsidRPr="0091738D">
              <w:rPr>
                <w:sz w:val="26"/>
                <w:szCs w:val="26"/>
                <w:lang w:val="en-US"/>
              </w:rPr>
              <w:t>các</w:t>
            </w:r>
            <w:proofErr w:type="spellEnd"/>
            <w:r w:rsidRPr="0091738D">
              <w:rPr>
                <w:sz w:val="26"/>
                <w:szCs w:val="26"/>
                <w:lang w:val="en-US"/>
              </w:rPr>
              <w:t xml:space="preserve"> </w:t>
            </w:r>
            <w:proofErr w:type="spellStart"/>
            <w:r w:rsidRPr="0091738D">
              <w:rPr>
                <w:sz w:val="26"/>
                <w:szCs w:val="26"/>
                <w:lang w:val="en-US"/>
              </w:rPr>
              <w:t>đối</w:t>
            </w:r>
            <w:proofErr w:type="spellEnd"/>
            <w:r w:rsidRPr="0091738D">
              <w:rPr>
                <w:sz w:val="26"/>
                <w:szCs w:val="26"/>
                <w:lang w:val="en-US"/>
              </w:rPr>
              <w:t xml:space="preserve"> </w:t>
            </w:r>
            <w:proofErr w:type="spellStart"/>
            <w:r w:rsidRPr="0091738D">
              <w:rPr>
                <w:sz w:val="26"/>
                <w:szCs w:val="26"/>
                <w:lang w:val="en-US"/>
              </w:rPr>
              <w:t>tác</w:t>
            </w:r>
            <w:proofErr w:type="spellEnd"/>
            <w:r w:rsidRPr="0091738D">
              <w:rPr>
                <w:sz w:val="26"/>
                <w:szCs w:val="26"/>
                <w:lang w:val="en-US"/>
              </w:rPr>
              <w:t xml:space="preserve"> </w:t>
            </w:r>
            <w:proofErr w:type="spellStart"/>
            <w:r w:rsidRPr="0091738D">
              <w:rPr>
                <w:sz w:val="26"/>
                <w:szCs w:val="26"/>
                <w:lang w:val="en-US"/>
              </w:rPr>
              <w:t>Hàn</w:t>
            </w:r>
            <w:proofErr w:type="spellEnd"/>
            <w:r w:rsidRPr="0091738D">
              <w:rPr>
                <w:sz w:val="26"/>
                <w:szCs w:val="26"/>
                <w:lang w:val="en-US"/>
              </w:rPr>
              <w:t xml:space="preserve"> </w:t>
            </w:r>
            <w:proofErr w:type="spellStart"/>
            <w:r w:rsidRPr="0091738D">
              <w:rPr>
                <w:sz w:val="26"/>
                <w:szCs w:val="26"/>
                <w:lang w:val="en-US"/>
              </w:rPr>
              <w:t>Quốc</w:t>
            </w:r>
            <w:proofErr w:type="spellEnd"/>
            <w:r w:rsidRPr="0091738D">
              <w:rPr>
                <w:sz w:val="26"/>
                <w:szCs w:val="26"/>
                <w:lang w:val="en-US"/>
              </w:rPr>
              <w:t xml:space="preserve"> </w:t>
            </w:r>
            <w:proofErr w:type="spellStart"/>
            <w:r w:rsidRPr="0091738D">
              <w:rPr>
                <w:sz w:val="26"/>
                <w:szCs w:val="26"/>
                <w:lang w:val="en-US"/>
              </w:rPr>
              <w:t>và</w:t>
            </w:r>
            <w:proofErr w:type="spellEnd"/>
            <w:r w:rsidRPr="0091738D">
              <w:rPr>
                <w:sz w:val="26"/>
                <w:szCs w:val="26"/>
                <w:lang w:val="en-US"/>
              </w:rPr>
              <w:t xml:space="preserve"> ASEAN </w:t>
            </w:r>
            <w:proofErr w:type="spellStart"/>
            <w:r w:rsidRPr="0091738D">
              <w:rPr>
                <w:sz w:val="26"/>
                <w:szCs w:val="26"/>
                <w:lang w:val="en-US"/>
              </w:rPr>
              <w:t>ép</w:t>
            </w:r>
            <w:proofErr w:type="spellEnd"/>
            <w:r w:rsidRPr="0091738D">
              <w:rPr>
                <w:sz w:val="26"/>
                <w:szCs w:val="26"/>
                <w:lang w:val="en-US"/>
              </w:rPr>
              <w:t xml:space="preserve"> </w:t>
            </w:r>
            <w:proofErr w:type="spellStart"/>
            <w:r w:rsidRPr="0091738D">
              <w:rPr>
                <w:sz w:val="26"/>
                <w:szCs w:val="26"/>
                <w:lang w:val="en-US"/>
              </w:rPr>
              <w:t>giá</w:t>
            </w:r>
            <w:proofErr w:type="spellEnd"/>
            <w:r w:rsidRPr="0091738D">
              <w:rPr>
                <w:sz w:val="26"/>
                <w:szCs w:val="26"/>
                <w:lang w:val="en-US"/>
              </w:rPr>
              <w:t>.</w:t>
            </w:r>
          </w:p>
        </w:tc>
        <w:tc>
          <w:tcPr>
            <w:tcW w:w="5103" w:type="dxa"/>
          </w:tcPr>
          <w:p w:rsidR="002A2DCE" w:rsidRPr="002A2DCE" w:rsidRDefault="002A2DCE" w:rsidP="002A2DCE">
            <w:pPr>
              <w:widowControl w:val="0"/>
              <w:spacing w:before="120" w:after="120"/>
              <w:jc w:val="both"/>
              <w:rPr>
                <w:sz w:val="26"/>
                <w:szCs w:val="26"/>
              </w:rPr>
            </w:pPr>
            <w:r w:rsidRPr="002A2DCE">
              <w:rPr>
                <w:sz w:val="26"/>
                <w:szCs w:val="26"/>
              </w:rPr>
              <w:t xml:space="preserve">Việc điều chỉnh giảm thuế suất thuế nhập khẩu MFN đối với mặt hàng xăng mặc dù có thể không tác động nhiều đến việc làm giảm giá xăng trong nước do hiện nay xăng nhập khẩu chủ yếu từ ASEAN và Hàn Quốc nhưng sẽ góp phần đa dạng hóa nguồn cung xăng từ các quốc gia khác như Trung Quốc, Hoa Kỳ và các quốc gia khu vực Trung Đông, Nam Mỹ tránh sự phụ thuộc quá lớn vào một số đối tác như hiện nay trong trường hợp nguồn cung trên thị trường thế giới biến động. </w:t>
            </w:r>
          </w:p>
          <w:p w:rsidR="0091738D" w:rsidRPr="002A2DCE" w:rsidRDefault="002A2DCE" w:rsidP="002A2DCE">
            <w:pPr>
              <w:widowControl w:val="0"/>
              <w:spacing w:before="120" w:after="120"/>
              <w:ind w:firstLine="33"/>
              <w:jc w:val="both"/>
              <w:rPr>
                <w:sz w:val="26"/>
                <w:szCs w:val="26"/>
                <w:lang w:val="nl-NL"/>
              </w:rPr>
            </w:pPr>
            <w:r w:rsidRPr="002A2DCE">
              <w:rPr>
                <w:sz w:val="26"/>
                <w:szCs w:val="26"/>
                <w:lang w:val="nl-NL"/>
              </w:rPr>
              <w:t xml:space="preserve">Tuy nhiên, trong điều kiện hiện nay, việc điều chỉnh giảm thuế suất thuế nhập khẩu MFN đối với xăng xuống bằng mức của các FTA là khó có thể thực hiện được do: i) Mức thuế suất FTA đối với mặt hàng xăng theo Hiệp định </w:t>
            </w:r>
            <w:r w:rsidRPr="002A2DCE">
              <w:rPr>
                <w:sz w:val="26"/>
                <w:szCs w:val="26"/>
                <w:lang w:val="nl-NL"/>
              </w:rPr>
              <w:lastRenderedPageBreak/>
              <w:t>ATIGA là 8% và phải tiếp tục điều chỉnh giảm theo lộ trình và đến năm 2024 sẽ về 0%; ii) Mức thuế suất thuế nhập khẩu MFN đối với mặt hàng xăng dầu phải đảm bảo không thấp hơn 7% để không phát sinh khoản thanh toán bù giá cho Nhà máy lọc Hóa dầu Nghi sơn theo cam kết GGU. Cùng với đó, việc điều chỉnh giảm thuế suất MFN đối với mặt hàng xăng dầu cũng phải đảm bảo không làm thu hẹp dư địa đàm phán các Hiệp định FTA mới theo nguyên tắc có đi có lại.</w:t>
            </w:r>
          </w:p>
          <w:p w:rsidR="0091738D" w:rsidRPr="0091738D" w:rsidRDefault="0091738D" w:rsidP="000D0966">
            <w:pPr>
              <w:widowControl w:val="0"/>
              <w:spacing w:beforeLines="40" w:afterLines="20"/>
              <w:jc w:val="both"/>
              <w:rPr>
                <w:sz w:val="26"/>
                <w:szCs w:val="26"/>
              </w:rPr>
            </w:pPr>
            <w:r w:rsidRPr="0091738D">
              <w:rPr>
                <w:sz w:val="26"/>
                <w:szCs w:val="26"/>
                <w:lang w:val="nl-NL"/>
              </w:rPr>
              <w:t xml:space="preserve">Trên cơ sở các lý do nêu trên, Bộ Tài chính đề xuất </w:t>
            </w:r>
            <w:r w:rsidR="00492383" w:rsidRPr="00492383">
              <w:rPr>
                <w:sz w:val="26"/>
                <w:szCs w:val="26"/>
                <w:lang w:val="nl-NL"/>
              </w:rPr>
              <w:t>điều chỉnh giảm mức thuế suất thuế nhập khẩu MFN đối với mặt hàng xăng động cơ, không pha chì (thuộc mã HS từ 2710.12.21 đến 2710.12.29) từ 20% xuống 10% thay cho phương án gửi xin ý kiến là từ 20% xuống 12%</w:t>
            </w:r>
            <w:r w:rsidRPr="0091738D">
              <w:rPr>
                <w:sz w:val="26"/>
                <w:szCs w:val="26"/>
                <w:lang w:val="nl-NL"/>
              </w:rPr>
              <w:t>.</w:t>
            </w:r>
            <w:r w:rsidR="00D767F4">
              <w:rPr>
                <w:sz w:val="26"/>
                <w:szCs w:val="26"/>
                <w:lang w:val="nl-NL"/>
              </w:rPr>
              <w:t xml:space="preserve"> </w:t>
            </w:r>
            <w:r w:rsidR="00D767F4" w:rsidRPr="00D767F4">
              <w:rPr>
                <w:sz w:val="26"/>
                <w:szCs w:val="26"/>
                <w:lang w:val="nl-NL"/>
              </w:rPr>
              <w:t>Việc điều chỉnh thuế suất thuế nhập khẩu MFN theo phương án này đảm bảo có được dư địa để đàm phán các FTA mới trong tương lai và đảm bảo không phát sinh nghĩa vụ của Việt Nam trong các cam kết quốc tế</w:t>
            </w:r>
            <w:r w:rsidR="00D767F4">
              <w:rPr>
                <w:sz w:val="26"/>
                <w:szCs w:val="26"/>
                <w:lang w:val="nl-NL"/>
              </w:rPr>
              <w:t>.</w:t>
            </w:r>
          </w:p>
        </w:tc>
      </w:tr>
      <w:tr w:rsidR="0091738D" w:rsidRPr="0091738D" w:rsidTr="0091738D">
        <w:trPr>
          <w:trHeight w:val="567"/>
        </w:trPr>
        <w:tc>
          <w:tcPr>
            <w:tcW w:w="675" w:type="dxa"/>
          </w:tcPr>
          <w:p w:rsidR="0091738D" w:rsidRPr="0091738D" w:rsidRDefault="0091738D" w:rsidP="000D0966">
            <w:pPr>
              <w:pStyle w:val="ListParagraph"/>
              <w:widowControl w:val="0"/>
              <w:numPr>
                <w:ilvl w:val="0"/>
                <w:numId w:val="2"/>
              </w:numPr>
              <w:spacing w:beforeLines="40" w:afterLines="20"/>
              <w:jc w:val="center"/>
              <w:rPr>
                <w:sz w:val="26"/>
                <w:szCs w:val="26"/>
              </w:rPr>
            </w:pPr>
          </w:p>
        </w:tc>
        <w:tc>
          <w:tcPr>
            <w:tcW w:w="4536" w:type="dxa"/>
          </w:tcPr>
          <w:p w:rsidR="00762858" w:rsidRDefault="00762858" w:rsidP="000D0966">
            <w:pPr>
              <w:widowControl w:val="0"/>
              <w:spacing w:beforeLines="40" w:afterLines="20"/>
              <w:jc w:val="both"/>
              <w:rPr>
                <w:sz w:val="26"/>
                <w:szCs w:val="26"/>
                <w:lang w:val="en-US"/>
              </w:rPr>
            </w:pPr>
            <w:proofErr w:type="spellStart"/>
            <w:r>
              <w:rPr>
                <w:sz w:val="26"/>
                <w:szCs w:val="26"/>
                <w:lang w:val="en-US"/>
              </w:rPr>
              <w:t>Hiệp</w:t>
            </w:r>
            <w:proofErr w:type="spellEnd"/>
            <w:r>
              <w:rPr>
                <w:sz w:val="26"/>
                <w:szCs w:val="26"/>
                <w:lang w:val="en-US"/>
              </w:rPr>
              <w:t xml:space="preserve"> </w:t>
            </w:r>
            <w:proofErr w:type="spellStart"/>
            <w:r>
              <w:rPr>
                <w:sz w:val="26"/>
                <w:szCs w:val="26"/>
                <w:lang w:val="en-US"/>
              </w:rPr>
              <w:t>hội</w:t>
            </w:r>
            <w:proofErr w:type="spellEnd"/>
            <w:r>
              <w:rPr>
                <w:sz w:val="26"/>
                <w:szCs w:val="26"/>
                <w:lang w:val="en-US"/>
              </w:rPr>
              <w:t xml:space="preserve"> </w:t>
            </w:r>
            <w:proofErr w:type="spellStart"/>
            <w:r>
              <w:rPr>
                <w:sz w:val="26"/>
                <w:szCs w:val="26"/>
                <w:lang w:val="en-US"/>
              </w:rPr>
              <w:t>xăng</w:t>
            </w:r>
            <w:proofErr w:type="spellEnd"/>
            <w:r>
              <w:rPr>
                <w:sz w:val="26"/>
                <w:szCs w:val="26"/>
                <w:lang w:val="en-US"/>
              </w:rPr>
              <w:t xml:space="preserve"> </w:t>
            </w:r>
            <w:proofErr w:type="spellStart"/>
            <w:r>
              <w:rPr>
                <w:sz w:val="26"/>
                <w:szCs w:val="26"/>
                <w:lang w:val="en-US"/>
              </w:rPr>
              <w:t>dầu</w:t>
            </w:r>
            <w:proofErr w:type="spellEnd"/>
            <w:r>
              <w:rPr>
                <w:sz w:val="26"/>
                <w:szCs w:val="26"/>
                <w:lang w:val="en-US"/>
              </w:rPr>
              <w:t xml:space="preserve"> </w:t>
            </w:r>
            <w:proofErr w:type="spellStart"/>
            <w:r>
              <w:rPr>
                <w:sz w:val="26"/>
                <w:szCs w:val="26"/>
                <w:lang w:val="en-US"/>
              </w:rPr>
              <w:t>Việt</w:t>
            </w:r>
            <w:proofErr w:type="spellEnd"/>
            <w:r>
              <w:rPr>
                <w:sz w:val="26"/>
                <w:szCs w:val="26"/>
                <w:lang w:val="en-US"/>
              </w:rPr>
              <w:t xml:space="preserve"> Nam</w:t>
            </w:r>
          </w:p>
          <w:p w:rsidR="0091738D" w:rsidRPr="0091738D" w:rsidRDefault="0091738D" w:rsidP="000D0966">
            <w:pPr>
              <w:widowControl w:val="0"/>
              <w:spacing w:beforeLines="40" w:afterLines="20"/>
              <w:jc w:val="both"/>
              <w:rPr>
                <w:sz w:val="26"/>
                <w:szCs w:val="26"/>
                <w:lang w:val="en-US"/>
              </w:rPr>
            </w:pPr>
            <w:r w:rsidRPr="0091738D">
              <w:rPr>
                <w:sz w:val="26"/>
                <w:szCs w:val="26"/>
                <w:lang w:val="en-US"/>
              </w:rPr>
              <w:t>(</w:t>
            </w:r>
            <w:proofErr w:type="spellStart"/>
            <w:r w:rsidR="00762858">
              <w:rPr>
                <w:sz w:val="26"/>
                <w:szCs w:val="26"/>
                <w:lang w:val="en-US"/>
              </w:rPr>
              <w:t>C</w:t>
            </w:r>
            <w:r w:rsidRPr="0091738D">
              <w:rPr>
                <w:sz w:val="26"/>
                <w:szCs w:val="26"/>
                <w:lang w:val="en-US"/>
              </w:rPr>
              <w:t>ông</w:t>
            </w:r>
            <w:proofErr w:type="spellEnd"/>
            <w:r w:rsidRPr="0091738D">
              <w:rPr>
                <w:sz w:val="26"/>
                <w:szCs w:val="26"/>
                <w:lang w:val="en-US"/>
              </w:rPr>
              <w:t xml:space="preserve"> </w:t>
            </w:r>
            <w:proofErr w:type="spellStart"/>
            <w:r w:rsidRPr="0091738D">
              <w:rPr>
                <w:sz w:val="26"/>
                <w:szCs w:val="26"/>
                <w:lang w:val="en-US"/>
              </w:rPr>
              <w:t>văn</w:t>
            </w:r>
            <w:proofErr w:type="spellEnd"/>
            <w:r w:rsidRPr="0091738D">
              <w:rPr>
                <w:sz w:val="26"/>
                <w:szCs w:val="26"/>
                <w:lang w:val="en-US"/>
              </w:rPr>
              <w:t xml:space="preserve"> </w:t>
            </w:r>
            <w:proofErr w:type="spellStart"/>
            <w:r w:rsidRPr="0091738D">
              <w:rPr>
                <w:sz w:val="26"/>
                <w:szCs w:val="26"/>
                <w:lang w:val="en-US"/>
              </w:rPr>
              <w:t>số</w:t>
            </w:r>
            <w:proofErr w:type="spellEnd"/>
            <w:r w:rsidRPr="0091738D">
              <w:rPr>
                <w:sz w:val="26"/>
                <w:szCs w:val="26"/>
                <w:lang w:val="en-US"/>
              </w:rPr>
              <w:t xml:space="preserve"> 426/HHXDVN-VP </w:t>
            </w:r>
            <w:proofErr w:type="spellStart"/>
            <w:r w:rsidRPr="0091738D">
              <w:rPr>
                <w:sz w:val="26"/>
                <w:szCs w:val="26"/>
                <w:lang w:val="en-US"/>
              </w:rPr>
              <w:t>ngày</w:t>
            </w:r>
            <w:proofErr w:type="spellEnd"/>
            <w:r w:rsidRPr="0091738D">
              <w:rPr>
                <w:sz w:val="26"/>
                <w:szCs w:val="26"/>
                <w:lang w:val="en-US"/>
              </w:rPr>
              <w:t xml:space="preserve"> 09/6/2022)</w:t>
            </w:r>
          </w:p>
        </w:tc>
        <w:tc>
          <w:tcPr>
            <w:tcW w:w="4395" w:type="dxa"/>
          </w:tcPr>
          <w:p w:rsidR="0091738D" w:rsidRPr="00BF1A33" w:rsidRDefault="0091738D" w:rsidP="000D0966">
            <w:pPr>
              <w:widowControl w:val="0"/>
              <w:spacing w:beforeLines="40" w:afterLines="20"/>
              <w:jc w:val="both"/>
              <w:rPr>
                <w:sz w:val="26"/>
                <w:szCs w:val="26"/>
                <w:lang w:val="en-US"/>
              </w:rPr>
            </w:pPr>
            <w:r w:rsidRPr="0091738D">
              <w:rPr>
                <w:color w:val="000000"/>
                <w:sz w:val="26"/>
                <w:szCs w:val="26"/>
              </w:rPr>
              <w:t xml:space="preserve">Hiệp hội kiến nghị Bộ Tài chính nghiên cứu điều chỉnh giảm thuế suất MFN đối với mặt hàng xăng động cơ, không pha chì từ mức 20% xuống mức 8% (bằng mức thuế suất FTA). Có như vậy mới thực chất góp phần đa dạng hóa nguồn cung xăng dầu, tránh phụ thuộc quá lớn </w:t>
            </w:r>
            <w:r w:rsidRPr="0091738D">
              <w:rPr>
                <w:color w:val="000000"/>
                <w:sz w:val="26"/>
                <w:szCs w:val="26"/>
              </w:rPr>
              <w:lastRenderedPageBreak/>
              <w:t>vào nguồn nhập khẩu từ Hàn Quốc và ASEAN, đặc biệt là việc đảm bảo nguồn hàng trong trường hợp nguồn cung từ các Nhà máy lọc dầu trong nước không đáp ứng đủ nhu cầu tiêu thụ. Trường hợp cần thiết đảm bảo mức chênh lệch phù hợp với mức thuế suất theo các FTA mà Việt Nam đã ký kết và đảm bảo dư địa đàm phán các Hiệp định FTA mới thì Bộ Tài chính có thể cân nhắc giảm thuế MFN đối với xăng động cơ, không pha chì xuống mức 10%. Ngoài ra, Hiệp hội cũng kiến nghị Bộ Tài chính trình Chính phủ điều chỉnh thuế MFN mặt hàng DO từ mức 7% xuống mức 3% để tương đương mức giảm thuế mặt hàng xăng và cũng có tác dụng tương tự như mặt hàng xăng</w:t>
            </w:r>
            <w:r w:rsidR="00BF1A33">
              <w:rPr>
                <w:color w:val="000000"/>
                <w:sz w:val="26"/>
                <w:szCs w:val="26"/>
                <w:lang w:val="en-US"/>
              </w:rPr>
              <w:t>.</w:t>
            </w:r>
          </w:p>
        </w:tc>
        <w:tc>
          <w:tcPr>
            <w:tcW w:w="5103" w:type="dxa"/>
          </w:tcPr>
          <w:p w:rsidR="0091738D" w:rsidRDefault="0091738D" w:rsidP="000D0966">
            <w:pPr>
              <w:widowControl w:val="0"/>
              <w:spacing w:beforeLines="40" w:afterLines="20"/>
              <w:jc w:val="both"/>
              <w:rPr>
                <w:sz w:val="26"/>
                <w:szCs w:val="26"/>
                <w:lang w:val="nl-NL"/>
              </w:rPr>
            </w:pPr>
            <w:r w:rsidRPr="0091738D">
              <w:rPr>
                <w:sz w:val="26"/>
                <w:szCs w:val="26"/>
                <w:lang w:val="en-US"/>
              </w:rPr>
              <w:lastRenderedPageBreak/>
              <w:t xml:space="preserve">- </w:t>
            </w:r>
            <w:proofErr w:type="spellStart"/>
            <w:r w:rsidRPr="0091738D">
              <w:rPr>
                <w:sz w:val="26"/>
                <w:szCs w:val="26"/>
                <w:lang w:val="en-US"/>
              </w:rPr>
              <w:t>Về</w:t>
            </w:r>
            <w:proofErr w:type="spellEnd"/>
            <w:r w:rsidRPr="0091738D">
              <w:rPr>
                <w:sz w:val="26"/>
                <w:szCs w:val="26"/>
                <w:lang w:val="en-US"/>
              </w:rPr>
              <w:t xml:space="preserve"> </w:t>
            </w:r>
            <w:proofErr w:type="spellStart"/>
            <w:r w:rsidRPr="0091738D">
              <w:rPr>
                <w:sz w:val="26"/>
                <w:szCs w:val="26"/>
                <w:lang w:val="en-US"/>
              </w:rPr>
              <w:t>đề</w:t>
            </w:r>
            <w:proofErr w:type="spellEnd"/>
            <w:r w:rsidRPr="0091738D">
              <w:rPr>
                <w:sz w:val="26"/>
                <w:szCs w:val="26"/>
                <w:lang w:val="en-US"/>
              </w:rPr>
              <w:t xml:space="preserve"> </w:t>
            </w:r>
            <w:proofErr w:type="spellStart"/>
            <w:r w:rsidRPr="0091738D">
              <w:rPr>
                <w:sz w:val="26"/>
                <w:szCs w:val="26"/>
                <w:lang w:val="en-US"/>
              </w:rPr>
              <w:t>xuất</w:t>
            </w:r>
            <w:proofErr w:type="spellEnd"/>
            <w:r w:rsidRPr="0091738D">
              <w:rPr>
                <w:sz w:val="26"/>
                <w:szCs w:val="26"/>
                <w:lang w:val="en-US"/>
              </w:rPr>
              <w:t xml:space="preserve"> </w:t>
            </w:r>
            <w:proofErr w:type="spellStart"/>
            <w:r w:rsidRPr="0091738D">
              <w:rPr>
                <w:sz w:val="26"/>
                <w:szCs w:val="26"/>
                <w:lang w:val="en-US"/>
              </w:rPr>
              <w:t>điều</w:t>
            </w:r>
            <w:proofErr w:type="spellEnd"/>
            <w:r w:rsidRPr="0091738D">
              <w:rPr>
                <w:sz w:val="26"/>
                <w:szCs w:val="26"/>
                <w:lang w:val="en-US"/>
              </w:rPr>
              <w:t xml:space="preserve"> </w:t>
            </w:r>
            <w:proofErr w:type="spellStart"/>
            <w:r w:rsidRPr="0091738D">
              <w:rPr>
                <w:sz w:val="26"/>
                <w:szCs w:val="26"/>
                <w:lang w:val="en-US"/>
              </w:rPr>
              <w:t>chỉnh</w:t>
            </w:r>
            <w:proofErr w:type="spellEnd"/>
            <w:r w:rsidRPr="0091738D">
              <w:rPr>
                <w:sz w:val="26"/>
                <w:szCs w:val="26"/>
                <w:lang w:val="en-US"/>
              </w:rPr>
              <w:t xml:space="preserve"> </w:t>
            </w:r>
            <w:proofErr w:type="spellStart"/>
            <w:r w:rsidRPr="0091738D">
              <w:rPr>
                <w:sz w:val="26"/>
                <w:szCs w:val="26"/>
                <w:lang w:val="en-US"/>
              </w:rPr>
              <w:t>mặt</w:t>
            </w:r>
            <w:proofErr w:type="spellEnd"/>
            <w:r w:rsidRPr="0091738D">
              <w:rPr>
                <w:sz w:val="26"/>
                <w:szCs w:val="26"/>
                <w:lang w:val="en-US"/>
              </w:rPr>
              <w:t xml:space="preserve"> </w:t>
            </w:r>
            <w:proofErr w:type="spellStart"/>
            <w:r w:rsidRPr="0091738D">
              <w:rPr>
                <w:sz w:val="26"/>
                <w:szCs w:val="26"/>
                <w:lang w:val="en-US"/>
              </w:rPr>
              <w:t>hàng</w:t>
            </w:r>
            <w:proofErr w:type="spellEnd"/>
            <w:r w:rsidRPr="0091738D">
              <w:rPr>
                <w:sz w:val="26"/>
                <w:szCs w:val="26"/>
                <w:lang w:val="en-US"/>
              </w:rPr>
              <w:t xml:space="preserve"> </w:t>
            </w:r>
            <w:proofErr w:type="spellStart"/>
            <w:r w:rsidRPr="0091738D">
              <w:rPr>
                <w:sz w:val="26"/>
                <w:szCs w:val="26"/>
                <w:lang w:val="en-US"/>
              </w:rPr>
              <w:t>xăng</w:t>
            </w:r>
            <w:proofErr w:type="spellEnd"/>
            <w:r w:rsidRPr="0091738D">
              <w:rPr>
                <w:sz w:val="26"/>
                <w:szCs w:val="26"/>
                <w:lang w:val="en-US"/>
              </w:rPr>
              <w:t xml:space="preserve"> </w:t>
            </w:r>
            <w:proofErr w:type="spellStart"/>
            <w:r w:rsidRPr="0091738D">
              <w:rPr>
                <w:sz w:val="26"/>
                <w:szCs w:val="26"/>
                <w:lang w:val="en-US"/>
              </w:rPr>
              <w:t>xuống</w:t>
            </w:r>
            <w:proofErr w:type="spellEnd"/>
            <w:r w:rsidRPr="0091738D">
              <w:rPr>
                <w:sz w:val="26"/>
                <w:szCs w:val="26"/>
                <w:lang w:val="en-US"/>
              </w:rPr>
              <w:t xml:space="preserve"> 8% </w:t>
            </w:r>
            <w:proofErr w:type="spellStart"/>
            <w:r w:rsidRPr="0091738D">
              <w:rPr>
                <w:sz w:val="26"/>
                <w:szCs w:val="26"/>
                <w:lang w:val="en-US"/>
              </w:rPr>
              <w:t>hoặc</w:t>
            </w:r>
            <w:proofErr w:type="spellEnd"/>
            <w:r w:rsidRPr="0091738D">
              <w:rPr>
                <w:sz w:val="26"/>
                <w:szCs w:val="26"/>
                <w:lang w:val="en-US"/>
              </w:rPr>
              <w:t xml:space="preserve"> 10%: </w:t>
            </w:r>
            <w:proofErr w:type="spellStart"/>
            <w:r w:rsidRPr="0091738D">
              <w:rPr>
                <w:sz w:val="26"/>
                <w:szCs w:val="26"/>
                <w:lang w:val="en-US"/>
              </w:rPr>
              <w:t>B</w:t>
            </w:r>
            <w:r w:rsidR="00BF1A33">
              <w:rPr>
                <w:sz w:val="26"/>
                <w:szCs w:val="26"/>
                <w:lang w:val="en-US"/>
              </w:rPr>
              <w:t>ộ</w:t>
            </w:r>
            <w:proofErr w:type="spellEnd"/>
            <w:r w:rsidR="00BF1A33">
              <w:rPr>
                <w:sz w:val="26"/>
                <w:szCs w:val="26"/>
                <w:lang w:val="en-US"/>
              </w:rPr>
              <w:t xml:space="preserve"> </w:t>
            </w:r>
            <w:proofErr w:type="spellStart"/>
            <w:r w:rsidR="00BF1A33">
              <w:rPr>
                <w:sz w:val="26"/>
                <w:szCs w:val="26"/>
                <w:lang w:val="en-US"/>
              </w:rPr>
              <w:t>Tài</w:t>
            </w:r>
            <w:proofErr w:type="spellEnd"/>
            <w:r w:rsidR="00BF1A33">
              <w:rPr>
                <w:sz w:val="26"/>
                <w:szCs w:val="26"/>
                <w:lang w:val="en-US"/>
              </w:rPr>
              <w:t xml:space="preserve"> </w:t>
            </w:r>
            <w:proofErr w:type="spellStart"/>
            <w:r w:rsidR="00BF1A33">
              <w:rPr>
                <w:sz w:val="26"/>
                <w:szCs w:val="26"/>
                <w:lang w:val="en-US"/>
              </w:rPr>
              <w:t>chính</w:t>
            </w:r>
            <w:proofErr w:type="spellEnd"/>
            <w:r w:rsidR="00BF1A33">
              <w:rPr>
                <w:sz w:val="26"/>
                <w:szCs w:val="26"/>
                <w:lang w:val="en-US"/>
              </w:rPr>
              <w:t xml:space="preserve"> </w:t>
            </w:r>
            <w:proofErr w:type="spellStart"/>
            <w:r w:rsidR="00BF1A33">
              <w:rPr>
                <w:sz w:val="26"/>
                <w:szCs w:val="26"/>
                <w:lang w:val="en-US"/>
              </w:rPr>
              <w:t>tiếp</w:t>
            </w:r>
            <w:proofErr w:type="spellEnd"/>
            <w:r w:rsidR="00BF1A33">
              <w:rPr>
                <w:sz w:val="26"/>
                <w:szCs w:val="26"/>
                <w:lang w:val="en-US"/>
              </w:rPr>
              <w:t xml:space="preserve"> </w:t>
            </w:r>
            <w:proofErr w:type="spellStart"/>
            <w:r w:rsidR="00BF1A33">
              <w:rPr>
                <w:sz w:val="26"/>
                <w:szCs w:val="26"/>
                <w:lang w:val="en-US"/>
              </w:rPr>
              <w:t>thu</w:t>
            </w:r>
            <w:proofErr w:type="spellEnd"/>
            <w:r w:rsidR="00BF1A33">
              <w:rPr>
                <w:sz w:val="26"/>
                <w:szCs w:val="26"/>
                <w:lang w:val="en-US"/>
              </w:rPr>
              <w:t xml:space="preserve"> </w:t>
            </w:r>
            <w:proofErr w:type="spellStart"/>
            <w:r w:rsidR="00BF1A33">
              <w:rPr>
                <w:sz w:val="26"/>
                <w:szCs w:val="26"/>
                <w:lang w:val="en-US"/>
              </w:rPr>
              <w:t>và</w:t>
            </w:r>
            <w:proofErr w:type="spellEnd"/>
            <w:r w:rsidR="00BF1A33">
              <w:rPr>
                <w:sz w:val="26"/>
                <w:szCs w:val="26"/>
                <w:lang w:val="en-US"/>
              </w:rPr>
              <w:t xml:space="preserve"> </w:t>
            </w:r>
            <w:r w:rsidR="00B22EE3" w:rsidRPr="0091738D">
              <w:rPr>
                <w:sz w:val="26"/>
                <w:szCs w:val="26"/>
                <w:lang w:val="nl-NL"/>
              </w:rPr>
              <w:t xml:space="preserve">đề xuất </w:t>
            </w:r>
            <w:r w:rsidR="00B22EE3" w:rsidRPr="00492383">
              <w:rPr>
                <w:sz w:val="26"/>
                <w:szCs w:val="26"/>
                <w:lang w:val="nl-NL"/>
              </w:rPr>
              <w:t>điều chỉnh giảm mức thuế suất thuế nhập khẩu MFN đối với mặt hàng xăng động cơ, không pha chì (thuộc mã HS từ 2710.12.21 đ</w:t>
            </w:r>
            <w:r w:rsidR="00CF394F">
              <w:rPr>
                <w:sz w:val="26"/>
                <w:szCs w:val="26"/>
                <w:lang w:val="nl-NL"/>
              </w:rPr>
              <w:t>ến 2710.12.29) từ 20% xuống 10%</w:t>
            </w:r>
            <w:r w:rsidR="00B22EE3">
              <w:rPr>
                <w:sz w:val="26"/>
                <w:szCs w:val="26"/>
                <w:lang w:val="nl-NL"/>
              </w:rPr>
              <w:t xml:space="preserve"> </w:t>
            </w:r>
            <w:r w:rsidRPr="0091738D">
              <w:rPr>
                <w:sz w:val="26"/>
                <w:szCs w:val="26"/>
                <w:lang w:val="nl-NL"/>
              </w:rPr>
              <w:t>như đã giải trình ý kiến Bộ Công Thương nêu trên.</w:t>
            </w:r>
          </w:p>
          <w:p w:rsidR="0091738D" w:rsidRPr="0091738D" w:rsidRDefault="0091738D" w:rsidP="000D0966">
            <w:pPr>
              <w:widowControl w:val="0"/>
              <w:spacing w:beforeLines="40" w:afterLines="20"/>
              <w:jc w:val="both"/>
              <w:rPr>
                <w:sz w:val="26"/>
                <w:szCs w:val="26"/>
                <w:lang w:val="nl-NL"/>
              </w:rPr>
            </w:pPr>
            <w:r w:rsidRPr="0091738D">
              <w:rPr>
                <w:sz w:val="26"/>
                <w:szCs w:val="26"/>
                <w:lang w:val="nl-NL"/>
              </w:rPr>
              <w:lastRenderedPageBreak/>
              <w:t xml:space="preserve">- Về đề xuất điều chỉnh thuế suất thuế nhập khẩu ưu đãi mặt hàng DO từ mức 7% xuống mức 3%: Việc điều hành mức thuế suất thuế nhập khẩu MFN đối với mặt hàng dầu hiện nay chịu sự ràng buộc bởi Bản Thoả thuận cam kết và Bảo lãnh của Chính phủ (GGU) đối với Nhà máy lọc hóa dầu Nghi Sơn (NSRP) là: </w:t>
            </w:r>
            <w:r w:rsidRPr="0091738D">
              <w:rPr>
                <w:i/>
                <w:sz w:val="26"/>
                <w:szCs w:val="26"/>
                <w:lang w:val="nl-NL"/>
              </w:rPr>
              <w:t xml:space="preserve">“Trong 10 năm đầu kể từ Ngày vận hành thương mại, NSRP có thể áp dụng mức giá bán buôn tại cổng nhà máy là giá nhập khẩu cộng thuế nhập khẩu 7% đối với sản phẩm lọc dầu (ngoại trừ 5% cho LPG) và 3% đối với sản phẩm hoá dầu. Trong thời hạn nêu trên, </w:t>
            </w:r>
            <w:r w:rsidRPr="0091738D">
              <w:rPr>
                <w:i/>
                <w:sz w:val="26"/>
                <w:szCs w:val="26"/>
                <w:u w:val="single"/>
                <w:lang w:val="nl-NL"/>
              </w:rPr>
              <w:t xml:space="preserve">nếu </w:t>
            </w:r>
            <w:r w:rsidRPr="0091738D">
              <w:rPr>
                <w:bCs/>
                <w:i/>
                <w:sz w:val="26"/>
                <w:szCs w:val="26"/>
                <w:u w:val="single"/>
                <w:lang w:val="nl-NL"/>
              </w:rPr>
              <w:t>Nhà nước</w:t>
            </w:r>
            <w:r w:rsidRPr="0091738D">
              <w:rPr>
                <w:i/>
                <w:sz w:val="26"/>
                <w:szCs w:val="26"/>
                <w:u w:val="single"/>
                <w:lang w:val="nl-NL"/>
              </w:rPr>
              <w:t xml:space="preserve"> Việt Nam </w:t>
            </w:r>
            <w:r w:rsidRPr="0091738D">
              <w:rPr>
                <w:bCs/>
                <w:i/>
                <w:sz w:val="26"/>
                <w:szCs w:val="26"/>
                <w:u w:val="single"/>
                <w:lang w:val="nl-NL"/>
              </w:rPr>
              <w:t>quy định</w:t>
            </w:r>
            <w:r w:rsidRPr="0091738D">
              <w:rPr>
                <w:i/>
                <w:sz w:val="26"/>
                <w:szCs w:val="26"/>
                <w:u w:val="single"/>
                <w:lang w:val="nl-NL"/>
              </w:rPr>
              <w:t xml:space="preserve"> thuế suất thuế nhập khẩu thấp hơn (căn cứ vào thuế suất Tối Huệ Quốc được quy định trong biểu thuế xuất nhập khẩu Việt Nam) thì </w:t>
            </w:r>
            <w:r w:rsidRPr="0091738D">
              <w:rPr>
                <w:bCs/>
                <w:i/>
                <w:sz w:val="26"/>
                <w:szCs w:val="26"/>
                <w:u w:val="single"/>
                <w:lang w:val="nl-NL"/>
              </w:rPr>
              <w:t>Chính phủ</w:t>
            </w:r>
            <w:r w:rsidRPr="0091738D">
              <w:rPr>
                <w:i/>
                <w:sz w:val="26"/>
                <w:szCs w:val="26"/>
                <w:u w:val="single"/>
                <w:lang w:val="nl-NL"/>
              </w:rPr>
              <w:t xml:space="preserve"> bảo đảm rằng Petrovietnam sẽ thanh toán cho NSRP số chênh lệch giữa thuế suất nhập khẩu thực tế và thuế suất 7% đối với các sản phẩm lọc dầu (ngoại trừ 5% cho LPG) và 3% đối với các sản phẩm hóa dầu.</w:t>
            </w:r>
            <w:r w:rsidRPr="0091738D">
              <w:rPr>
                <w:i/>
                <w:sz w:val="26"/>
                <w:szCs w:val="26"/>
                <w:lang w:val="nl-NL"/>
              </w:rPr>
              <w:t xml:space="preserve"> Q</w:t>
            </w:r>
            <w:r w:rsidRPr="0091738D">
              <w:rPr>
                <w:bCs/>
                <w:i/>
                <w:sz w:val="26"/>
                <w:szCs w:val="26"/>
                <w:lang w:val="nl-NL"/>
              </w:rPr>
              <w:t>uy định</w:t>
            </w:r>
            <w:r w:rsidRPr="0091738D">
              <w:rPr>
                <w:i/>
                <w:sz w:val="26"/>
                <w:szCs w:val="26"/>
                <w:lang w:val="nl-NL"/>
              </w:rPr>
              <w:t xml:space="preserve"> này được áp dụng trong mọi trường hợp NSRP bán sản phẩm </w:t>
            </w:r>
            <w:r w:rsidRPr="0091738D">
              <w:rPr>
                <w:i/>
                <w:iCs/>
                <w:sz w:val="26"/>
                <w:szCs w:val="26"/>
                <w:lang w:val="nl-NL"/>
              </w:rPr>
              <w:t>của</w:t>
            </w:r>
            <w:r w:rsidRPr="0091738D">
              <w:rPr>
                <w:i/>
                <w:sz w:val="26"/>
                <w:szCs w:val="26"/>
                <w:lang w:val="nl-NL"/>
              </w:rPr>
              <w:t xml:space="preserve"> mình cho thị trường nội địa, cho dù thông qua Petrovietnam hay bên bao tiêu khác”.</w:t>
            </w:r>
            <w:r w:rsidRPr="0091738D">
              <w:rPr>
                <w:sz w:val="26"/>
                <w:szCs w:val="26"/>
                <w:lang w:val="nl-NL"/>
              </w:rPr>
              <w:t xml:space="preserve"> </w:t>
            </w:r>
          </w:p>
          <w:p w:rsidR="0091738D" w:rsidRPr="0091738D" w:rsidRDefault="0091738D" w:rsidP="0091738D">
            <w:pPr>
              <w:widowControl w:val="0"/>
              <w:jc w:val="both"/>
              <w:rPr>
                <w:sz w:val="26"/>
                <w:szCs w:val="26"/>
                <w:lang w:val="nl-NL"/>
              </w:rPr>
            </w:pPr>
            <w:r w:rsidRPr="0091738D">
              <w:rPr>
                <w:sz w:val="26"/>
                <w:szCs w:val="26"/>
                <w:lang w:val="nl-NL"/>
              </w:rPr>
              <w:t xml:space="preserve">Đồng thời, việc điều chỉnh giảm thuế suất MFN đối với mặt hàng dầu cũng phải đảm bảo không làm thu hẹp dư địa đàm phán các Hiệp </w:t>
            </w:r>
            <w:r w:rsidRPr="0091738D">
              <w:rPr>
                <w:sz w:val="26"/>
                <w:szCs w:val="26"/>
                <w:lang w:val="nl-NL"/>
              </w:rPr>
              <w:lastRenderedPageBreak/>
              <w:t>định FTA mới theo nguyên tắc có đi có lại. Đối với mặt hàng dầu hiện đang áp dụng mức thuế suất MFN là 7% đã đảm bảo không phát sinh nghĩa vụ bù giá theo quy định tại GGU nêu trên.</w:t>
            </w:r>
          </w:p>
          <w:p w:rsidR="0091738D" w:rsidRPr="0091738D" w:rsidRDefault="0091738D" w:rsidP="000D0966">
            <w:pPr>
              <w:widowControl w:val="0"/>
              <w:spacing w:beforeLines="40" w:afterLines="20"/>
              <w:jc w:val="both"/>
              <w:rPr>
                <w:sz w:val="26"/>
                <w:szCs w:val="26"/>
                <w:lang w:val="en-US"/>
              </w:rPr>
            </w:pPr>
            <w:r w:rsidRPr="0091738D">
              <w:rPr>
                <w:sz w:val="26"/>
                <w:szCs w:val="26"/>
                <w:lang w:val="nl-NL"/>
              </w:rPr>
              <w:t>Theo đó, Bộ Tài chính đề xuất không điều chỉnh giảm thuế suất thuế nhập khẩu ưu đãi đối với mặt hàng dầu.</w:t>
            </w:r>
          </w:p>
        </w:tc>
      </w:tr>
    </w:tbl>
    <w:p w:rsidR="004A1D77" w:rsidRPr="0091738D" w:rsidRDefault="004A1D77" w:rsidP="0091738D">
      <w:pPr>
        <w:jc w:val="both"/>
        <w:rPr>
          <w:rFonts w:ascii="Times New Roman" w:hAnsi="Times New Roman" w:cs="Times New Roman"/>
          <w:sz w:val="24"/>
          <w:szCs w:val="24"/>
        </w:rPr>
      </w:pPr>
    </w:p>
    <w:sectPr w:rsidR="004A1D77" w:rsidRPr="0091738D" w:rsidSect="00646F98">
      <w:headerReference w:type="default" r:id="rId8"/>
      <w:pgSz w:w="16838" w:h="11906" w:orient="landscape" w:code="9"/>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6E" w:rsidRDefault="0021276E" w:rsidP="00EC6FCE">
      <w:pPr>
        <w:spacing w:after="0" w:line="240" w:lineRule="auto"/>
      </w:pPr>
      <w:r>
        <w:separator/>
      </w:r>
    </w:p>
  </w:endnote>
  <w:endnote w:type="continuationSeparator" w:id="0">
    <w:p w:rsidR="0021276E" w:rsidRDefault="0021276E" w:rsidP="00EC6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6E" w:rsidRDefault="0021276E" w:rsidP="00EC6FCE">
      <w:pPr>
        <w:spacing w:after="0" w:line="240" w:lineRule="auto"/>
      </w:pPr>
      <w:r>
        <w:separator/>
      </w:r>
    </w:p>
  </w:footnote>
  <w:footnote w:type="continuationSeparator" w:id="0">
    <w:p w:rsidR="0021276E" w:rsidRDefault="0021276E" w:rsidP="00EC6FCE">
      <w:pPr>
        <w:spacing w:after="0" w:line="240" w:lineRule="auto"/>
      </w:pPr>
      <w:r>
        <w:continuationSeparator/>
      </w:r>
    </w:p>
  </w:footnote>
  <w:footnote w:id="1">
    <w:p w:rsidR="0091738D" w:rsidRPr="0091738D" w:rsidRDefault="0091738D">
      <w:pPr>
        <w:pStyle w:val="FootnoteText"/>
      </w:pPr>
      <w:r>
        <w:rPr>
          <w:rStyle w:val="FootnoteReference"/>
        </w:rPr>
        <w:footnoteRef/>
      </w:r>
      <w:r>
        <w:t xml:space="preserve"> </w:t>
      </w:r>
      <w:r w:rsidRPr="0091738D">
        <w:rPr>
          <w:lang w:val="vi-VN"/>
        </w:rPr>
        <w:t>Ngân hàng Nhà nước Việt Nam (Công văn số 2999/NHNN-PC ngày 06/5/2022) ; Bộ Quốc Phòng (</w:t>
      </w:r>
      <w:r>
        <w:t>c</w:t>
      </w:r>
      <w:r w:rsidRPr="0091738D">
        <w:rPr>
          <w:lang w:val="vi-VN"/>
        </w:rPr>
        <w:t>ông văn số 1372/BQP-KHĐT ngày 07/5/2022); Bộ Văn hóa, Thể thao và Du lịch (</w:t>
      </w:r>
      <w:r>
        <w:t>C</w:t>
      </w:r>
      <w:r w:rsidRPr="0091738D">
        <w:rPr>
          <w:lang w:val="vi-VN"/>
        </w:rPr>
        <w:t>ông văn số 1596/BVHTTDL-KHTC ngày 09/5/2022); Bộ Xây dựng (</w:t>
      </w:r>
      <w:r>
        <w:t>C</w:t>
      </w:r>
      <w:r w:rsidRPr="0091738D">
        <w:rPr>
          <w:lang w:val="vi-VN"/>
        </w:rPr>
        <w:t>ông văn số 1757/BXD-PC ngày 23/5/2022); Ủy ban dân tộc (</w:t>
      </w:r>
      <w:r>
        <w:t>C</w:t>
      </w:r>
      <w:r w:rsidRPr="0091738D">
        <w:rPr>
          <w:lang w:val="vi-VN"/>
        </w:rPr>
        <w:t>ông văn số 652/UBDT-KHTC ngày 29/4/2022); Bộ Lao động-Thương binh và Xã hội (</w:t>
      </w:r>
      <w:r>
        <w:t>C</w:t>
      </w:r>
      <w:r w:rsidRPr="0091738D">
        <w:rPr>
          <w:lang w:val="vi-VN"/>
        </w:rPr>
        <w:t>ông văn số 1493/LĐTBXH-PC ngày 11/5/2022); UBND Thành phố Hà Nội (</w:t>
      </w:r>
      <w:r>
        <w:t>C</w:t>
      </w:r>
      <w:r w:rsidRPr="0091738D">
        <w:rPr>
          <w:lang w:val="vi-VN"/>
        </w:rPr>
        <w:t>ông văn số 1549/UBND-KTTH ngày 23/5/2022); UBND tỉnh Quảng Ninh (Công văn số 1462/HQQN-TXNK ngày 04/5/2022); UBND tỉnh Ninh Thuận (Công văn số 3001/CT-NVDTPC ngày 04/5/2022); UBND tỉnh Điện Biên (Công văn số 828/STC-QLNS ngày 06/5/2022); UBND tỉnh Lào Cai (</w:t>
      </w:r>
      <w:r>
        <w:t>C</w:t>
      </w:r>
      <w:r w:rsidRPr="0091738D">
        <w:rPr>
          <w:lang w:val="vi-VN"/>
        </w:rPr>
        <w:t>ông văn số 1919/UBND-KT ngày 06/5/2022); UBND tỉnh Trà Vinh (</w:t>
      </w:r>
      <w:r>
        <w:t>C</w:t>
      </w:r>
      <w:r w:rsidRPr="0091738D">
        <w:rPr>
          <w:lang w:val="vi-VN"/>
        </w:rPr>
        <w:t>ông văn số 1150/STC-NS ngày 06/5/2022); UBND tỉnh Nam Định (</w:t>
      </w:r>
      <w:r>
        <w:t>C</w:t>
      </w:r>
      <w:r w:rsidRPr="0091738D">
        <w:rPr>
          <w:lang w:val="vi-VN"/>
        </w:rPr>
        <w:t>ông văn số 176/UBND-VP6 ngày 06/5/2022); UBND tỉnh Hòa Bình (</w:t>
      </w:r>
      <w:r>
        <w:t>C</w:t>
      </w:r>
      <w:r w:rsidRPr="0091738D">
        <w:rPr>
          <w:lang w:val="vi-VN"/>
        </w:rPr>
        <w:t>ông văn số 706/UBND-KTTH ngày 06/5/2022); UBND tỉnh Ninh Bình (</w:t>
      </w:r>
      <w:r>
        <w:t>C</w:t>
      </w:r>
      <w:r w:rsidRPr="0091738D">
        <w:rPr>
          <w:lang w:val="vi-VN"/>
        </w:rPr>
        <w:t>ông văn số 1111/STC-NS ngày 09/5/2022); UBND tỉnh Phú Thọ (</w:t>
      </w:r>
      <w:r>
        <w:t>C</w:t>
      </w:r>
      <w:r w:rsidRPr="0091738D">
        <w:rPr>
          <w:lang w:val="vi-VN"/>
        </w:rPr>
        <w:t>ông văn số 745/STC-QLG&amp;CS ngày 05/5/2022); UBND tỉnh Bình Định (</w:t>
      </w:r>
      <w:r>
        <w:t>C</w:t>
      </w:r>
      <w:r w:rsidRPr="0091738D">
        <w:rPr>
          <w:lang w:val="vi-VN"/>
        </w:rPr>
        <w:t>ông văn số 567/HQBĐ-NV ngày 05/5/2022); UBND tỉnh Yên Bái (</w:t>
      </w:r>
      <w:r>
        <w:t>C</w:t>
      </w:r>
      <w:r w:rsidRPr="0091738D">
        <w:rPr>
          <w:lang w:val="vi-VN"/>
        </w:rPr>
        <w:t>ông văn số 761/STC-QLNS ngày 05/5/2022); UBND tỉnh Quảng Ngãi (</w:t>
      </w:r>
      <w:r>
        <w:t>C</w:t>
      </w:r>
      <w:r w:rsidRPr="0091738D">
        <w:rPr>
          <w:lang w:val="vi-VN"/>
        </w:rPr>
        <w:t>ông văn số 537/HQQNg-NV ngày 05/5/2022); UBND tỉnh Cần Thơ (</w:t>
      </w:r>
      <w:r>
        <w:t>C</w:t>
      </w:r>
      <w:r w:rsidRPr="0091738D">
        <w:rPr>
          <w:lang w:val="vi-VN"/>
        </w:rPr>
        <w:t>ông văn số 688/HQCT-NV ngày 04/5/2022); UBND tỉnh Bình Thuận (</w:t>
      </w:r>
      <w:r>
        <w:t>C</w:t>
      </w:r>
      <w:r w:rsidRPr="0091738D">
        <w:rPr>
          <w:lang w:val="vi-VN"/>
        </w:rPr>
        <w:t>ông văn số 5702/CTBTH-NVDTPC ngày 05/5/2022); UBND tỉnh Tiền Giang (</w:t>
      </w:r>
      <w:r>
        <w:t>C</w:t>
      </w:r>
      <w:r w:rsidRPr="0091738D">
        <w:rPr>
          <w:lang w:val="vi-VN"/>
        </w:rPr>
        <w:t>ông văn số 1197/STC-TCĐT-DN ngày 04/5/2022); UBND tỉnh Lạng Sơn (</w:t>
      </w:r>
      <w:r>
        <w:t>C</w:t>
      </w:r>
      <w:r w:rsidRPr="0091738D">
        <w:rPr>
          <w:lang w:val="vi-VN"/>
        </w:rPr>
        <w:t>ông văn số 473/UBND-KT ngày 04/5/2022); UBND tỉnh Hà Giang (</w:t>
      </w:r>
      <w:r>
        <w:t>C</w:t>
      </w:r>
      <w:r w:rsidRPr="0091738D">
        <w:rPr>
          <w:lang w:val="vi-VN"/>
        </w:rPr>
        <w:t>ông văn số 436/CTHGI-NVDTPC 05/5/2022); UBND tỉnh Bắc Kạn (</w:t>
      </w:r>
      <w:r>
        <w:t>C</w:t>
      </w:r>
      <w:r w:rsidRPr="0091738D">
        <w:rPr>
          <w:lang w:val="vi-VN"/>
        </w:rPr>
        <w:t>ông văn số 2795/UBND-TH ngày 10/5/2022); UBND tỉnh Lâm Đồng (</w:t>
      </w:r>
      <w:r>
        <w:t>C</w:t>
      </w:r>
      <w:r w:rsidRPr="0091738D">
        <w:rPr>
          <w:lang w:val="vi-VN"/>
        </w:rPr>
        <w:t>ông văn số 1461/CTLĐO-NVDT ngày 28/4/2022); UBND tỉnh Phú Yên (</w:t>
      </w:r>
      <w:r>
        <w:t>C</w:t>
      </w:r>
      <w:r w:rsidRPr="0091738D">
        <w:rPr>
          <w:lang w:val="vi-VN"/>
        </w:rPr>
        <w:t>ông văn số 1099/STC-TCDN ngày 04/5/2022); UBND tỉnh Sơn La (</w:t>
      </w:r>
      <w:r>
        <w:t>C</w:t>
      </w:r>
      <w:r w:rsidRPr="0091738D">
        <w:rPr>
          <w:lang w:val="vi-VN"/>
        </w:rPr>
        <w:t>ông văn số 1445/STC-TCDN ngày 04/5/2022); UBND tỉnh Nghệ An (</w:t>
      </w:r>
      <w:r>
        <w:t>C</w:t>
      </w:r>
      <w:r w:rsidRPr="0091738D">
        <w:rPr>
          <w:lang w:val="vi-VN"/>
        </w:rPr>
        <w:t>ông văn số 3250/UBND-KT ngày 10/5/2022); UBND tỉnh Long An (</w:t>
      </w:r>
      <w:r>
        <w:t>C</w:t>
      </w:r>
      <w:r w:rsidRPr="0091738D">
        <w:rPr>
          <w:lang w:val="vi-VN"/>
        </w:rPr>
        <w:t>ông văn số 1958/STC-QLNS ngày 10/5/2022); UBND tỉnh Bạc Liêu (</w:t>
      </w:r>
      <w:r>
        <w:t>C</w:t>
      </w:r>
      <w:r w:rsidRPr="0091738D">
        <w:rPr>
          <w:lang w:val="vi-VN"/>
        </w:rPr>
        <w:t>ông văn số 1510/UBND-TH ngày 09/5/2022); UBND tỉnh Bắc Kạn (</w:t>
      </w:r>
      <w:r>
        <w:t>C</w:t>
      </w:r>
      <w:r w:rsidRPr="0091738D">
        <w:rPr>
          <w:lang w:val="vi-VN"/>
        </w:rPr>
        <w:t>ông văn số 2795/UBND-TH ngày 10/5/2022); UBND tỉnh Tây Ninh (</w:t>
      </w:r>
      <w:r>
        <w:t>C</w:t>
      </w:r>
      <w:r w:rsidRPr="0091738D">
        <w:rPr>
          <w:lang w:val="vi-VN"/>
        </w:rPr>
        <w:t>ông văn số 1514/UBND-KT ngày 11/5/2022); UBND tỉnh Gia Lai (</w:t>
      </w:r>
      <w:r>
        <w:t>C</w:t>
      </w:r>
      <w:r w:rsidRPr="0091738D">
        <w:rPr>
          <w:lang w:val="vi-VN"/>
        </w:rPr>
        <w:t>ông văn số 1306/STC-QLNS ngày 05/5/2022); UBND tỉnh Bình Phước (</w:t>
      </w:r>
      <w:r>
        <w:t>C</w:t>
      </w:r>
      <w:r w:rsidRPr="0091738D">
        <w:rPr>
          <w:lang w:val="vi-VN"/>
        </w:rPr>
        <w:t>ông văn số 723/HQBP-NV ngày 04/5/2022); UBND tỉnh Quảng Nam (</w:t>
      </w:r>
      <w:r>
        <w:t>C</w:t>
      </w:r>
      <w:r w:rsidRPr="0091738D">
        <w:rPr>
          <w:lang w:val="vi-VN"/>
        </w:rPr>
        <w:t>ông văn số 460/HQQNa-NV ngày 06/5/2022); UBND tỉnh Đồng Nai (Công văn số 5184/UBND-KTNS ngày 24/5/2022); UBND tỉ</w:t>
      </w:r>
      <w:r>
        <w:rPr>
          <w:lang w:val="vi-VN"/>
        </w:rPr>
        <w:t>nh Đ</w:t>
      </w:r>
      <w:r>
        <w:t>ắ</w:t>
      </w:r>
      <w:r>
        <w:rPr>
          <w:lang w:val="vi-VN"/>
        </w:rPr>
        <w:t>k L</w:t>
      </w:r>
      <w:r>
        <w:t>ắ</w:t>
      </w:r>
      <w:r w:rsidRPr="0091738D">
        <w:rPr>
          <w:lang w:val="vi-VN"/>
        </w:rPr>
        <w:t>k (</w:t>
      </w:r>
      <w:r>
        <w:t>C</w:t>
      </w:r>
      <w:r w:rsidRPr="0091738D">
        <w:rPr>
          <w:lang w:val="vi-VN"/>
        </w:rPr>
        <w:t>ông văn số 3807/UBND-KT ngày 12/5/2022); UBND tỉnh Khánh Hòa (</w:t>
      </w:r>
      <w:r>
        <w:t>C</w:t>
      </w:r>
      <w:r w:rsidRPr="0091738D">
        <w:rPr>
          <w:lang w:val="vi-VN"/>
        </w:rPr>
        <w:t>ông văn số1651/STC-QLNS ngày 13/5/2022); UBND tỉnh An Giang (</w:t>
      </w:r>
      <w:r>
        <w:t>C</w:t>
      </w:r>
      <w:r w:rsidRPr="0091738D">
        <w:rPr>
          <w:lang w:val="vi-VN"/>
        </w:rPr>
        <w:t>ông văn số 1132/HQAG-NV ngày 05/5/2022); UBND tỉnh Bình Dương (</w:t>
      </w:r>
      <w:r>
        <w:t>C</w:t>
      </w:r>
      <w:r w:rsidRPr="0091738D">
        <w:rPr>
          <w:lang w:val="vi-VN"/>
        </w:rPr>
        <w:t>ông văn số 1764/STC-QLNS ngày 18/5/2022)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435"/>
      <w:docPartObj>
        <w:docPartGallery w:val="Page Numbers (Top of Page)"/>
        <w:docPartUnique/>
      </w:docPartObj>
    </w:sdtPr>
    <w:sdtContent>
      <w:p w:rsidR="00FF3A5F" w:rsidRDefault="00DF6FCC">
        <w:pPr>
          <w:pStyle w:val="Header"/>
          <w:jc w:val="center"/>
        </w:pPr>
        <w:r w:rsidRPr="00646F98">
          <w:rPr>
            <w:rFonts w:ascii="Times New Roman" w:hAnsi="Times New Roman" w:cs="Times New Roman"/>
            <w:sz w:val="24"/>
            <w:szCs w:val="24"/>
          </w:rPr>
          <w:fldChar w:fldCharType="begin"/>
        </w:r>
        <w:r w:rsidR="00FF3A5F" w:rsidRPr="00646F98">
          <w:rPr>
            <w:rFonts w:ascii="Times New Roman" w:hAnsi="Times New Roman" w:cs="Times New Roman"/>
            <w:sz w:val="24"/>
            <w:szCs w:val="24"/>
          </w:rPr>
          <w:instrText xml:space="preserve"> PAGE   \* MERGEFORMAT </w:instrText>
        </w:r>
        <w:r w:rsidRPr="00646F98">
          <w:rPr>
            <w:rFonts w:ascii="Times New Roman" w:hAnsi="Times New Roman" w:cs="Times New Roman"/>
            <w:sz w:val="24"/>
            <w:szCs w:val="24"/>
          </w:rPr>
          <w:fldChar w:fldCharType="separate"/>
        </w:r>
        <w:r w:rsidR="000D0966">
          <w:rPr>
            <w:rFonts w:ascii="Times New Roman" w:hAnsi="Times New Roman" w:cs="Times New Roman"/>
            <w:noProof/>
            <w:sz w:val="24"/>
            <w:szCs w:val="24"/>
          </w:rPr>
          <w:t>2</w:t>
        </w:r>
        <w:r w:rsidRPr="00646F98">
          <w:rPr>
            <w:rFonts w:ascii="Times New Roman" w:hAnsi="Times New Roman" w:cs="Times New Roman"/>
            <w:sz w:val="24"/>
            <w:szCs w:val="24"/>
          </w:rPr>
          <w:fldChar w:fldCharType="end"/>
        </w:r>
      </w:p>
    </w:sdtContent>
  </w:sdt>
  <w:p w:rsidR="00FF3A5F" w:rsidRDefault="00FF3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97CC6"/>
    <w:multiLevelType w:val="hybridMultilevel"/>
    <w:tmpl w:val="49F011AA"/>
    <w:lvl w:ilvl="0" w:tplc="758C0684">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76558"/>
    <w:multiLevelType w:val="hybridMultilevel"/>
    <w:tmpl w:val="6F1862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2EAA"/>
    <w:rsid w:val="000004CB"/>
    <w:rsid w:val="00006AAE"/>
    <w:rsid w:val="0001343C"/>
    <w:rsid w:val="00024BEA"/>
    <w:rsid w:val="00026E2C"/>
    <w:rsid w:val="000434E0"/>
    <w:rsid w:val="00053BCC"/>
    <w:rsid w:val="00054FA6"/>
    <w:rsid w:val="00062EE5"/>
    <w:rsid w:val="00066187"/>
    <w:rsid w:val="000724CF"/>
    <w:rsid w:val="000770D0"/>
    <w:rsid w:val="000A5CC5"/>
    <w:rsid w:val="000A5FD6"/>
    <w:rsid w:val="000B5C39"/>
    <w:rsid w:val="000C1B43"/>
    <w:rsid w:val="000C2AA0"/>
    <w:rsid w:val="000D0966"/>
    <w:rsid w:val="000D0EEE"/>
    <w:rsid w:val="000D5C11"/>
    <w:rsid w:val="000E4DB7"/>
    <w:rsid w:val="000E592D"/>
    <w:rsid w:val="000F1168"/>
    <w:rsid w:val="000F4A38"/>
    <w:rsid w:val="00100029"/>
    <w:rsid w:val="00100A5B"/>
    <w:rsid w:val="001057A9"/>
    <w:rsid w:val="0011023B"/>
    <w:rsid w:val="00111285"/>
    <w:rsid w:val="00124F96"/>
    <w:rsid w:val="00127346"/>
    <w:rsid w:val="00133173"/>
    <w:rsid w:val="00135237"/>
    <w:rsid w:val="00145503"/>
    <w:rsid w:val="0015153F"/>
    <w:rsid w:val="00153011"/>
    <w:rsid w:val="00171EBC"/>
    <w:rsid w:val="00174667"/>
    <w:rsid w:val="00174737"/>
    <w:rsid w:val="00177945"/>
    <w:rsid w:val="001849A1"/>
    <w:rsid w:val="001A2829"/>
    <w:rsid w:val="001A4F5F"/>
    <w:rsid w:val="001A67F8"/>
    <w:rsid w:val="001B46C2"/>
    <w:rsid w:val="001B626A"/>
    <w:rsid w:val="001C0F44"/>
    <w:rsid w:val="001C19BD"/>
    <w:rsid w:val="001C2166"/>
    <w:rsid w:val="001C29B5"/>
    <w:rsid w:val="001E027B"/>
    <w:rsid w:val="001E0C2B"/>
    <w:rsid w:val="001F09B4"/>
    <w:rsid w:val="001F3885"/>
    <w:rsid w:val="00207639"/>
    <w:rsid w:val="0021276E"/>
    <w:rsid w:val="00214D8C"/>
    <w:rsid w:val="00233245"/>
    <w:rsid w:val="002340B9"/>
    <w:rsid w:val="00234676"/>
    <w:rsid w:val="00252A66"/>
    <w:rsid w:val="00254BC6"/>
    <w:rsid w:val="002718C8"/>
    <w:rsid w:val="00271A36"/>
    <w:rsid w:val="00273215"/>
    <w:rsid w:val="00273E73"/>
    <w:rsid w:val="002800D5"/>
    <w:rsid w:val="00280468"/>
    <w:rsid w:val="00280D6B"/>
    <w:rsid w:val="00296B0B"/>
    <w:rsid w:val="002A2DCE"/>
    <w:rsid w:val="002B6A9C"/>
    <w:rsid w:val="002C3EA5"/>
    <w:rsid w:val="002D3FE4"/>
    <w:rsid w:val="002E540C"/>
    <w:rsid w:val="002F6F39"/>
    <w:rsid w:val="003044B2"/>
    <w:rsid w:val="00312D89"/>
    <w:rsid w:val="00326B5C"/>
    <w:rsid w:val="003362E2"/>
    <w:rsid w:val="00347596"/>
    <w:rsid w:val="003627F1"/>
    <w:rsid w:val="00362EAA"/>
    <w:rsid w:val="0036467A"/>
    <w:rsid w:val="0036629C"/>
    <w:rsid w:val="00394D79"/>
    <w:rsid w:val="003A12C7"/>
    <w:rsid w:val="003A4D8D"/>
    <w:rsid w:val="003A5580"/>
    <w:rsid w:val="003A623E"/>
    <w:rsid w:val="003A7CD0"/>
    <w:rsid w:val="003B3FDD"/>
    <w:rsid w:val="003C1741"/>
    <w:rsid w:val="003C2A86"/>
    <w:rsid w:val="003C350F"/>
    <w:rsid w:val="003C3AE7"/>
    <w:rsid w:val="003C5D76"/>
    <w:rsid w:val="003E4725"/>
    <w:rsid w:val="003E775C"/>
    <w:rsid w:val="003F3350"/>
    <w:rsid w:val="003F7361"/>
    <w:rsid w:val="0040332C"/>
    <w:rsid w:val="00405CC5"/>
    <w:rsid w:val="00410F40"/>
    <w:rsid w:val="00412B54"/>
    <w:rsid w:val="004211A7"/>
    <w:rsid w:val="00424CE5"/>
    <w:rsid w:val="00433B0D"/>
    <w:rsid w:val="00440CD7"/>
    <w:rsid w:val="00446D62"/>
    <w:rsid w:val="00452E9C"/>
    <w:rsid w:val="00453735"/>
    <w:rsid w:val="004575B1"/>
    <w:rsid w:val="00462665"/>
    <w:rsid w:val="00462CB3"/>
    <w:rsid w:val="00485D25"/>
    <w:rsid w:val="00492383"/>
    <w:rsid w:val="00492F76"/>
    <w:rsid w:val="004A1D77"/>
    <w:rsid w:val="004C0954"/>
    <w:rsid w:val="004C2C5B"/>
    <w:rsid w:val="004C3D8F"/>
    <w:rsid w:val="004C658B"/>
    <w:rsid w:val="004D7971"/>
    <w:rsid w:val="004E7909"/>
    <w:rsid w:val="004F1FD4"/>
    <w:rsid w:val="00515CD5"/>
    <w:rsid w:val="00516E92"/>
    <w:rsid w:val="005170C3"/>
    <w:rsid w:val="0052044D"/>
    <w:rsid w:val="00521894"/>
    <w:rsid w:val="00521D27"/>
    <w:rsid w:val="00525FB6"/>
    <w:rsid w:val="00530C8B"/>
    <w:rsid w:val="005311BD"/>
    <w:rsid w:val="005311CD"/>
    <w:rsid w:val="0054424B"/>
    <w:rsid w:val="0056487D"/>
    <w:rsid w:val="005829AF"/>
    <w:rsid w:val="00592CB2"/>
    <w:rsid w:val="00594B33"/>
    <w:rsid w:val="005976F9"/>
    <w:rsid w:val="00597F29"/>
    <w:rsid w:val="005A5BD6"/>
    <w:rsid w:val="005B1B58"/>
    <w:rsid w:val="005B2701"/>
    <w:rsid w:val="005B6E55"/>
    <w:rsid w:val="005C56CE"/>
    <w:rsid w:val="005C6849"/>
    <w:rsid w:val="005E5EA4"/>
    <w:rsid w:val="005F5E33"/>
    <w:rsid w:val="00603730"/>
    <w:rsid w:val="00613B12"/>
    <w:rsid w:val="00616559"/>
    <w:rsid w:val="00616A93"/>
    <w:rsid w:val="00624A93"/>
    <w:rsid w:val="00626236"/>
    <w:rsid w:val="0062667D"/>
    <w:rsid w:val="006270CD"/>
    <w:rsid w:val="006343BC"/>
    <w:rsid w:val="006347BC"/>
    <w:rsid w:val="00646914"/>
    <w:rsid w:val="00646F98"/>
    <w:rsid w:val="00647720"/>
    <w:rsid w:val="00651766"/>
    <w:rsid w:val="00660DC8"/>
    <w:rsid w:val="0066780C"/>
    <w:rsid w:val="00675BD8"/>
    <w:rsid w:val="00681678"/>
    <w:rsid w:val="0068263C"/>
    <w:rsid w:val="00687FFB"/>
    <w:rsid w:val="006A702F"/>
    <w:rsid w:val="006B4243"/>
    <w:rsid w:val="006C6E48"/>
    <w:rsid w:val="006D2B39"/>
    <w:rsid w:val="006E0FCA"/>
    <w:rsid w:val="006E3E0E"/>
    <w:rsid w:val="006E6BA4"/>
    <w:rsid w:val="006F1411"/>
    <w:rsid w:val="006F7278"/>
    <w:rsid w:val="00703FBA"/>
    <w:rsid w:val="0070746A"/>
    <w:rsid w:val="00711EDA"/>
    <w:rsid w:val="00713EB6"/>
    <w:rsid w:val="00717182"/>
    <w:rsid w:val="00720CDA"/>
    <w:rsid w:val="00730E1E"/>
    <w:rsid w:val="00751BD9"/>
    <w:rsid w:val="00753E89"/>
    <w:rsid w:val="00762858"/>
    <w:rsid w:val="00766245"/>
    <w:rsid w:val="007709CB"/>
    <w:rsid w:val="00774AF1"/>
    <w:rsid w:val="00775569"/>
    <w:rsid w:val="00782A2C"/>
    <w:rsid w:val="007B165D"/>
    <w:rsid w:val="007B25B8"/>
    <w:rsid w:val="007B4366"/>
    <w:rsid w:val="007C2D6D"/>
    <w:rsid w:val="007D2BB4"/>
    <w:rsid w:val="007F1C4A"/>
    <w:rsid w:val="007F33D3"/>
    <w:rsid w:val="0080732B"/>
    <w:rsid w:val="0082043D"/>
    <w:rsid w:val="00826019"/>
    <w:rsid w:val="00833EFD"/>
    <w:rsid w:val="0083535E"/>
    <w:rsid w:val="008367AC"/>
    <w:rsid w:val="008464E6"/>
    <w:rsid w:val="00847E30"/>
    <w:rsid w:val="00867F7A"/>
    <w:rsid w:val="00871652"/>
    <w:rsid w:val="008717F6"/>
    <w:rsid w:val="00883BF2"/>
    <w:rsid w:val="00884FF0"/>
    <w:rsid w:val="00886E89"/>
    <w:rsid w:val="00892B00"/>
    <w:rsid w:val="008A31B6"/>
    <w:rsid w:val="008B1DBD"/>
    <w:rsid w:val="008B23D0"/>
    <w:rsid w:val="008B6249"/>
    <w:rsid w:val="008C0157"/>
    <w:rsid w:val="008C29C9"/>
    <w:rsid w:val="008C456C"/>
    <w:rsid w:val="008F2DC3"/>
    <w:rsid w:val="008F64C2"/>
    <w:rsid w:val="008F7FE0"/>
    <w:rsid w:val="00914FE8"/>
    <w:rsid w:val="0091556D"/>
    <w:rsid w:val="00915D81"/>
    <w:rsid w:val="00916E6D"/>
    <w:rsid w:val="0091738D"/>
    <w:rsid w:val="009256AC"/>
    <w:rsid w:val="009276EC"/>
    <w:rsid w:val="009459B1"/>
    <w:rsid w:val="0095017D"/>
    <w:rsid w:val="00966A16"/>
    <w:rsid w:val="00966AF9"/>
    <w:rsid w:val="00975ED5"/>
    <w:rsid w:val="00985567"/>
    <w:rsid w:val="00986D95"/>
    <w:rsid w:val="00995020"/>
    <w:rsid w:val="00995B0A"/>
    <w:rsid w:val="00996A10"/>
    <w:rsid w:val="009A68D8"/>
    <w:rsid w:val="009B684F"/>
    <w:rsid w:val="009C4946"/>
    <w:rsid w:val="009C54A8"/>
    <w:rsid w:val="009C68BE"/>
    <w:rsid w:val="009D001E"/>
    <w:rsid w:val="009D1893"/>
    <w:rsid w:val="009D2C0E"/>
    <w:rsid w:val="009D325D"/>
    <w:rsid w:val="009D6F9D"/>
    <w:rsid w:val="009E0B73"/>
    <w:rsid w:val="009E3917"/>
    <w:rsid w:val="009F0520"/>
    <w:rsid w:val="009F5128"/>
    <w:rsid w:val="00A060F5"/>
    <w:rsid w:val="00A07A7B"/>
    <w:rsid w:val="00A12F4D"/>
    <w:rsid w:val="00A3668A"/>
    <w:rsid w:val="00A46CBB"/>
    <w:rsid w:val="00A47039"/>
    <w:rsid w:val="00A5121B"/>
    <w:rsid w:val="00A514D4"/>
    <w:rsid w:val="00A57968"/>
    <w:rsid w:val="00A57A74"/>
    <w:rsid w:val="00A64AA8"/>
    <w:rsid w:val="00A74637"/>
    <w:rsid w:val="00A76785"/>
    <w:rsid w:val="00A778D0"/>
    <w:rsid w:val="00A81DC9"/>
    <w:rsid w:val="00A96451"/>
    <w:rsid w:val="00AA102D"/>
    <w:rsid w:val="00AA2C77"/>
    <w:rsid w:val="00AC0E21"/>
    <w:rsid w:val="00AC36A5"/>
    <w:rsid w:val="00AD068F"/>
    <w:rsid w:val="00AD576A"/>
    <w:rsid w:val="00AD5B91"/>
    <w:rsid w:val="00AD776D"/>
    <w:rsid w:val="00AE1FEB"/>
    <w:rsid w:val="00AE28A7"/>
    <w:rsid w:val="00AF0BDE"/>
    <w:rsid w:val="00B04F8B"/>
    <w:rsid w:val="00B075D7"/>
    <w:rsid w:val="00B14650"/>
    <w:rsid w:val="00B16355"/>
    <w:rsid w:val="00B22EE3"/>
    <w:rsid w:val="00B239E2"/>
    <w:rsid w:val="00B332CC"/>
    <w:rsid w:val="00B34CBD"/>
    <w:rsid w:val="00B36AC8"/>
    <w:rsid w:val="00B417D0"/>
    <w:rsid w:val="00B47E82"/>
    <w:rsid w:val="00B50D73"/>
    <w:rsid w:val="00B5220D"/>
    <w:rsid w:val="00B57F7D"/>
    <w:rsid w:val="00B94D1C"/>
    <w:rsid w:val="00B96D5D"/>
    <w:rsid w:val="00BA24FF"/>
    <w:rsid w:val="00BA36C6"/>
    <w:rsid w:val="00BB02B2"/>
    <w:rsid w:val="00BB4010"/>
    <w:rsid w:val="00BC209E"/>
    <w:rsid w:val="00BC216F"/>
    <w:rsid w:val="00BC2EB7"/>
    <w:rsid w:val="00BC3B18"/>
    <w:rsid w:val="00BD471C"/>
    <w:rsid w:val="00BD4946"/>
    <w:rsid w:val="00BD5642"/>
    <w:rsid w:val="00BD77A3"/>
    <w:rsid w:val="00BE39E1"/>
    <w:rsid w:val="00BE4A93"/>
    <w:rsid w:val="00BE6D2E"/>
    <w:rsid w:val="00BF0606"/>
    <w:rsid w:val="00BF0A50"/>
    <w:rsid w:val="00BF1A33"/>
    <w:rsid w:val="00C03C11"/>
    <w:rsid w:val="00C0443E"/>
    <w:rsid w:val="00C11BA1"/>
    <w:rsid w:val="00C26C03"/>
    <w:rsid w:val="00C30A4A"/>
    <w:rsid w:val="00C33366"/>
    <w:rsid w:val="00C3483A"/>
    <w:rsid w:val="00C424B2"/>
    <w:rsid w:val="00C57C26"/>
    <w:rsid w:val="00C60EFB"/>
    <w:rsid w:val="00C61160"/>
    <w:rsid w:val="00C66883"/>
    <w:rsid w:val="00C703A3"/>
    <w:rsid w:val="00C85ACA"/>
    <w:rsid w:val="00C90859"/>
    <w:rsid w:val="00CA14CB"/>
    <w:rsid w:val="00CD002F"/>
    <w:rsid w:val="00CD25D2"/>
    <w:rsid w:val="00CE5965"/>
    <w:rsid w:val="00CF394F"/>
    <w:rsid w:val="00CF659A"/>
    <w:rsid w:val="00CF729A"/>
    <w:rsid w:val="00D00E88"/>
    <w:rsid w:val="00D01D2F"/>
    <w:rsid w:val="00D02D64"/>
    <w:rsid w:val="00D04829"/>
    <w:rsid w:val="00D04870"/>
    <w:rsid w:val="00D067BF"/>
    <w:rsid w:val="00D078DD"/>
    <w:rsid w:val="00D21D09"/>
    <w:rsid w:val="00D23D04"/>
    <w:rsid w:val="00D45ED7"/>
    <w:rsid w:val="00D466EB"/>
    <w:rsid w:val="00D54BCB"/>
    <w:rsid w:val="00D64B96"/>
    <w:rsid w:val="00D670F2"/>
    <w:rsid w:val="00D767F4"/>
    <w:rsid w:val="00D86ADE"/>
    <w:rsid w:val="00DA0261"/>
    <w:rsid w:val="00DA0670"/>
    <w:rsid w:val="00DA4728"/>
    <w:rsid w:val="00DB43D0"/>
    <w:rsid w:val="00DB63A3"/>
    <w:rsid w:val="00DD34DC"/>
    <w:rsid w:val="00DD72A7"/>
    <w:rsid w:val="00DF144E"/>
    <w:rsid w:val="00DF3FDC"/>
    <w:rsid w:val="00DF6FCC"/>
    <w:rsid w:val="00E038CA"/>
    <w:rsid w:val="00E047E5"/>
    <w:rsid w:val="00E13F78"/>
    <w:rsid w:val="00E17345"/>
    <w:rsid w:val="00E25F5F"/>
    <w:rsid w:val="00E32A0C"/>
    <w:rsid w:val="00E37652"/>
    <w:rsid w:val="00E44590"/>
    <w:rsid w:val="00E50D43"/>
    <w:rsid w:val="00E512BA"/>
    <w:rsid w:val="00E52273"/>
    <w:rsid w:val="00E73C40"/>
    <w:rsid w:val="00E749BD"/>
    <w:rsid w:val="00E76D16"/>
    <w:rsid w:val="00E82CB7"/>
    <w:rsid w:val="00E836EF"/>
    <w:rsid w:val="00E85477"/>
    <w:rsid w:val="00E87404"/>
    <w:rsid w:val="00E90C46"/>
    <w:rsid w:val="00EA1731"/>
    <w:rsid w:val="00EA1B7C"/>
    <w:rsid w:val="00EA488D"/>
    <w:rsid w:val="00EB5B7E"/>
    <w:rsid w:val="00EC2001"/>
    <w:rsid w:val="00EC6FCE"/>
    <w:rsid w:val="00ED35FE"/>
    <w:rsid w:val="00ED3C00"/>
    <w:rsid w:val="00EE62E3"/>
    <w:rsid w:val="00EF098B"/>
    <w:rsid w:val="00EF416B"/>
    <w:rsid w:val="00EF6C78"/>
    <w:rsid w:val="00F0037E"/>
    <w:rsid w:val="00F028E3"/>
    <w:rsid w:val="00F11368"/>
    <w:rsid w:val="00F124E1"/>
    <w:rsid w:val="00F15AFB"/>
    <w:rsid w:val="00F21B11"/>
    <w:rsid w:val="00F21B63"/>
    <w:rsid w:val="00F3716C"/>
    <w:rsid w:val="00F5227F"/>
    <w:rsid w:val="00F61AF5"/>
    <w:rsid w:val="00F6785F"/>
    <w:rsid w:val="00F757E6"/>
    <w:rsid w:val="00F8442F"/>
    <w:rsid w:val="00FA336D"/>
    <w:rsid w:val="00FA406E"/>
    <w:rsid w:val="00FA6BC5"/>
    <w:rsid w:val="00FA6D65"/>
    <w:rsid w:val="00FB1643"/>
    <w:rsid w:val="00FB19F4"/>
    <w:rsid w:val="00FB3E2C"/>
    <w:rsid w:val="00FD0965"/>
    <w:rsid w:val="00FE79D6"/>
    <w:rsid w:val="00FF3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77"/>
  </w:style>
  <w:style w:type="paragraph" w:styleId="Heading3">
    <w:name w:val="heading 3"/>
    <w:basedOn w:val="Normal"/>
    <w:next w:val="Normal"/>
    <w:link w:val="Heading3Char"/>
    <w:uiPriority w:val="9"/>
    <w:qFormat/>
    <w:rsid w:val="00362EAA"/>
    <w:pPr>
      <w:keepNext/>
      <w:spacing w:after="0" w:line="240" w:lineRule="auto"/>
      <w:jc w:val="center"/>
      <w:outlineLvl w:val="2"/>
    </w:pPr>
    <w:rPr>
      <w:rFonts w:ascii=".VnTimeH" w:eastAsia="Times New Roman" w:hAnsi=".VnTimeH" w:cs="Times New Roman"/>
      <w:b/>
      <w:sz w:val="24"/>
      <w:szCs w:val="24"/>
      <w:lang w:val="en-AU"/>
    </w:rPr>
  </w:style>
  <w:style w:type="paragraph" w:styleId="Heading4">
    <w:name w:val="heading 4"/>
    <w:basedOn w:val="Normal"/>
    <w:next w:val="Normal"/>
    <w:link w:val="Heading4Char"/>
    <w:qFormat/>
    <w:rsid w:val="00362EAA"/>
    <w:pPr>
      <w:keepNext/>
      <w:spacing w:after="0" w:line="240" w:lineRule="auto"/>
      <w:jc w:val="center"/>
      <w:outlineLvl w:val="3"/>
    </w:pPr>
    <w:rPr>
      <w:rFonts w:ascii=".VnTimeH" w:eastAsia="Times New Roman" w:hAnsi=".VnTimeH" w:cs="Times New Roman"/>
      <w:b/>
      <w:bCs/>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EAA"/>
    <w:rPr>
      <w:rFonts w:ascii=".VnTimeH" w:eastAsia="Times New Roman" w:hAnsi=".VnTimeH" w:cs="Times New Roman"/>
      <w:b/>
      <w:sz w:val="24"/>
      <w:szCs w:val="24"/>
      <w:lang w:val="en-AU"/>
    </w:rPr>
  </w:style>
  <w:style w:type="character" w:customStyle="1" w:styleId="Heading4Char">
    <w:name w:val="Heading 4 Char"/>
    <w:basedOn w:val="DefaultParagraphFont"/>
    <w:link w:val="Heading4"/>
    <w:rsid w:val="00362EAA"/>
    <w:rPr>
      <w:rFonts w:ascii=".VnTimeH" w:eastAsia="Times New Roman" w:hAnsi=".VnTimeH" w:cs="Times New Roman"/>
      <w:b/>
      <w:bCs/>
      <w:szCs w:val="24"/>
      <w:lang w:val="en-AU"/>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362EA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62EA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basedOn w:val="DefaultParagraphFont"/>
    <w:link w:val="NormalWeb"/>
    <w:rsid w:val="00362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1652"/>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EC6FCE"/>
    <w:pPr>
      <w:spacing w:after="0" w:line="240" w:lineRule="auto"/>
      <w:jc w:val="both"/>
    </w:pPr>
    <w:rPr>
      <w:rFonts w:ascii="Times New Roman" w:eastAsia="Calibri"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EC6FCE"/>
    <w:rPr>
      <w:rFonts w:ascii="Times New Roman" w:eastAsia="Calibri"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SUPER,F,o"/>
    <w:link w:val="BVIfnrCharCharChar"/>
    <w:uiPriority w:val="99"/>
    <w:unhideWhenUsed/>
    <w:qFormat/>
    <w:rsid w:val="00EC6FCE"/>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qFormat/>
    <w:rsid w:val="00EC6FCE"/>
    <w:pPr>
      <w:spacing w:before="120" w:after="160" w:line="240" w:lineRule="exact"/>
      <w:jc w:val="both"/>
    </w:pPr>
    <w:rPr>
      <w:vertAlign w:val="superscript"/>
    </w:rPr>
  </w:style>
  <w:style w:type="paragraph" w:styleId="Header">
    <w:name w:val="header"/>
    <w:basedOn w:val="Normal"/>
    <w:link w:val="HeaderChar"/>
    <w:uiPriority w:val="99"/>
    <w:unhideWhenUsed/>
    <w:rsid w:val="00DA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261"/>
  </w:style>
  <w:style w:type="paragraph" w:styleId="Footer">
    <w:name w:val="footer"/>
    <w:basedOn w:val="Normal"/>
    <w:link w:val="FooterChar"/>
    <w:uiPriority w:val="99"/>
    <w:semiHidden/>
    <w:unhideWhenUsed/>
    <w:rsid w:val="00DA02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261"/>
  </w:style>
  <w:style w:type="paragraph" w:styleId="PlainText">
    <w:name w:val="Plain Text"/>
    <w:basedOn w:val="Normal"/>
    <w:link w:val="PlainTextChar"/>
    <w:uiPriority w:val="99"/>
    <w:semiHidden/>
    <w:unhideWhenUsed/>
    <w:rsid w:val="00405CC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405CC5"/>
    <w:rPr>
      <w:rFonts w:ascii="Calibri" w:hAnsi="Calibri"/>
      <w:szCs w:val="21"/>
      <w:lang w:val="en-US"/>
    </w:rPr>
  </w:style>
</w:styles>
</file>

<file path=word/webSettings.xml><?xml version="1.0" encoding="utf-8"?>
<w:webSettings xmlns:r="http://schemas.openxmlformats.org/officeDocument/2006/relationships" xmlns:w="http://schemas.openxmlformats.org/wordprocessingml/2006/main">
  <w:divs>
    <w:div w:id="23018279">
      <w:bodyDiv w:val="1"/>
      <w:marLeft w:val="0"/>
      <w:marRight w:val="0"/>
      <w:marTop w:val="0"/>
      <w:marBottom w:val="0"/>
      <w:divBdr>
        <w:top w:val="none" w:sz="0" w:space="0" w:color="auto"/>
        <w:left w:val="none" w:sz="0" w:space="0" w:color="auto"/>
        <w:bottom w:val="none" w:sz="0" w:space="0" w:color="auto"/>
        <w:right w:val="none" w:sz="0" w:space="0" w:color="auto"/>
      </w:divBdr>
    </w:div>
    <w:div w:id="725645661">
      <w:bodyDiv w:val="1"/>
      <w:marLeft w:val="0"/>
      <w:marRight w:val="0"/>
      <w:marTop w:val="0"/>
      <w:marBottom w:val="0"/>
      <w:divBdr>
        <w:top w:val="none" w:sz="0" w:space="0" w:color="auto"/>
        <w:left w:val="none" w:sz="0" w:space="0" w:color="auto"/>
        <w:bottom w:val="none" w:sz="0" w:space="0" w:color="auto"/>
        <w:right w:val="none" w:sz="0" w:space="0" w:color="auto"/>
      </w:divBdr>
    </w:div>
    <w:div w:id="916549709">
      <w:bodyDiv w:val="1"/>
      <w:marLeft w:val="0"/>
      <w:marRight w:val="0"/>
      <w:marTop w:val="0"/>
      <w:marBottom w:val="0"/>
      <w:divBdr>
        <w:top w:val="none" w:sz="0" w:space="0" w:color="auto"/>
        <w:left w:val="none" w:sz="0" w:space="0" w:color="auto"/>
        <w:bottom w:val="none" w:sz="0" w:space="0" w:color="auto"/>
        <w:right w:val="none" w:sz="0" w:space="0" w:color="auto"/>
      </w:divBdr>
    </w:div>
    <w:div w:id="19864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5D1F1-3C24-42F9-91AC-0C881F014F16}">
  <ds:schemaRefs>
    <ds:schemaRef ds:uri="http://schemas.openxmlformats.org/officeDocument/2006/bibliography"/>
  </ds:schemaRefs>
</ds:datastoreItem>
</file>

<file path=customXml/itemProps2.xml><?xml version="1.0" encoding="utf-8"?>
<ds:datastoreItem xmlns:ds="http://schemas.openxmlformats.org/officeDocument/2006/customXml" ds:itemID="{78E1EB96-38E7-40AC-8D25-3CC47940E1F9}"/>
</file>

<file path=customXml/itemProps3.xml><?xml version="1.0" encoding="utf-8"?>
<ds:datastoreItem xmlns:ds="http://schemas.openxmlformats.org/officeDocument/2006/customXml" ds:itemID="{BA6701E6-2C1D-44D9-806E-BD7F051E4042}"/>
</file>

<file path=customXml/itemProps4.xml><?xml version="1.0" encoding="utf-8"?>
<ds:datastoreItem xmlns:ds="http://schemas.openxmlformats.org/officeDocument/2006/customXml" ds:itemID="{F218747A-03D2-4A48-905B-3A1D0AF0BA61}"/>
</file>

<file path=docProps/app.xml><?xml version="1.0" encoding="utf-8"?>
<Properties xmlns="http://schemas.openxmlformats.org/officeDocument/2006/extended-properties" xmlns:vt="http://schemas.openxmlformats.org/officeDocument/2006/docPropsVTypes">
  <Template>Normal</Template>
  <TotalTime>34</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duongbahai</dc:creator>
  <cp:lastModifiedBy>Duong Ba Hai</cp:lastModifiedBy>
  <cp:revision>19</cp:revision>
  <cp:lastPrinted>2022-07-08T08:19:00Z</cp:lastPrinted>
  <dcterms:created xsi:type="dcterms:W3CDTF">2022-07-06T03:29:00Z</dcterms:created>
  <dcterms:modified xsi:type="dcterms:W3CDTF">2022-07-08T08:29:00Z</dcterms:modified>
</cp:coreProperties>
</file>